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0749" w:rsidRPr="002F260B" w:rsidRDefault="002F260B" w:rsidP="002F260B">
      <w:pPr>
        <w:jc w:val="center"/>
        <w:rPr>
          <w:rFonts w:ascii="BiauKai" w:eastAsia="BiauKai" w:hAnsi="BiauKai" w:hint="eastAsia"/>
          <w:b/>
          <w:bCs/>
          <w:sz w:val="24"/>
          <w:szCs w:val="24"/>
        </w:rPr>
      </w:pPr>
      <w:r w:rsidRPr="002F260B">
        <w:rPr>
          <w:rFonts w:ascii="BiauKai" w:eastAsia="BiauKai" w:hAnsi="BiauKai" w:hint="eastAsia"/>
          <w:b/>
          <w:bCs/>
          <w:sz w:val="24"/>
          <w:szCs w:val="24"/>
        </w:rPr>
        <w:t>114學年度精進計畫</w:t>
      </w:r>
      <w:r w:rsidRPr="002F260B">
        <w:rPr>
          <w:rFonts w:ascii="BiauKai" w:eastAsia="BiauKai" w:hAnsi="BiauKai"/>
          <w:b/>
          <w:bCs/>
          <w:sz w:val="24"/>
          <w:szCs w:val="24"/>
        </w:rPr>
        <w:t>-</w:t>
      </w:r>
      <w:r w:rsidRPr="002F260B">
        <w:rPr>
          <w:rFonts w:ascii="BiauKai" w:eastAsia="BiauKai" w:hAnsi="BiauKai" w:hint="eastAsia"/>
          <w:b/>
          <w:bCs/>
          <w:sz w:val="24"/>
          <w:szCs w:val="24"/>
        </w:rPr>
        <w:t>原住民族教育議題地方分團計畫</w:t>
      </w:r>
      <w:r w:rsidRPr="002F260B">
        <w:rPr>
          <w:rFonts w:ascii="BiauKai" w:eastAsia="BiauKai" w:hAnsi="BiauKai"/>
          <w:b/>
          <w:bCs/>
          <w:sz w:val="24"/>
          <w:szCs w:val="24"/>
        </w:rPr>
        <w:t>-</w:t>
      </w:r>
      <w:r w:rsidRPr="002F260B">
        <w:rPr>
          <w:rFonts w:ascii="BiauKai" w:eastAsia="BiauKai" w:hAnsi="BiauKai" w:hint="eastAsia"/>
          <w:b/>
          <w:bCs/>
          <w:sz w:val="24"/>
          <w:szCs w:val="24"/>
        </w:rPr>
        <w:t>修正表</w:t>
      </w:r>
    </w:p>
    <w:tbl>
      <w:tblPr>
        <w:tblStyle w:val="a3"/>
        <w:tblW w:w="0" w:type="auto"/>
        <w:tblLook w:val="04A0" w:firstRow="1" w:lastRow="0" w:firstColumn="1" w:lastColumn="0" w:noHBand="0" w:noVBand="1"/>
      </w:tblPr>
      <w:tblGrid>
        <w:gridCol w:w="1225"/>
        <w:gridCol w:w="7071"/>
      </w:tblGrid>
      <w:tr w:rsidR="004076F0" w:rsidTr="004C52D1">
        <w:tc>
          <w:tcPr>
            <w:tcW w:w="1413" w:type="dxa"/>
            <w:vAlign w:val="center"/>
          </w:tcPr>
          <w:p w:rsidR="004076F0" w:rsidRPr="002E7C84" w:rsidRDefault="004076F0" w:rsidP="004C52D1">
            <w:pPr>
              <w:jc w:val="center"/>
              <w:rPr>
                <w:rFonts w:ascii="標楷體" w:eastAsia="標楷體" w:hAnsi="標楷體" w:cs="Times New Roman"/>
                <w:sz w:val="24"/>
                <w:szCs w:val="24"/>
              </w:rPr>
            </w:pPr>
            <w:r w:rsidRPr="002E7C84">
              <w:rPr>
                <w:rFonts w:ascii="標楷體" w:eastAsia="標楷體" w:hAnsi="標楷體" w:cs="Times New Roman" w:hint="eastAsia"/>
                <w:sz w:val="24"/>
                <w:szCs w:val="24"/>
              </w:rPr>
              <w:t>原住民族教育議題</w:t>
            </w:r>
          </w:p>
        </w:tc>
        <w:tc>
          <w:tcPr>
            <w:tcW w:w="8323" w:type="dxa"/>
          </w:tcPr>
          <w:p w:rsidR="004076F0" w:rsidRPr="004076F0" w:rsidRDefault="004076F0" w:rsidP="004C52D1">
            <w:pPr>
              <w:jc w:val="both"/>
              <w:rPr>
                <w:rFonts w:ascii="Times New Roman" w:eastAsia="標楷體" w:hAnsi="Times New Roman" w:cs="Times New Roman"/>
                <w:color w:val="00B050"/>
                <w:sz w:val="24"/>
                <w:szCs w:val="24"/>
              </w:rPr>
            </w:pPr>
            <w:r w:rsidRPr="004076F0">
              <w:rPr>
                <w:rFonts w:ascii="Times New Roman" w:eastAsia="標楷體" w:hAnsi="Times New Roman" w:cs="Times New Roman" w:hint="eastAsia"/>
                <w:color w:val="00B050"/>
                <w:sz w:val="24"/>
                <w:szCs w:val="24"/>
              </w:rPr>
              <w:t>（</w:t>
            </w:r>
            <w:r w:rsidRPr="004076F0">
              <w:rPr>
                <w:rFonts w:ascii="Times New Roman" w:eastAsia="標楷體" w:hAnsi="Times New Roman" w:cs="Times New Roman"/>
                <w:color w:val="00B050"/>
                <w:sz w:val="24"/>
                <w:szCs w:val="24"/>
              </w:rPr>
              <w:t>一</w:t>
            </w:r>
            <w:r w:rsidRPr="004076F0">
              <w:rPr>
                <w:rFonts w:ascii="Times New Roman" w:eastAsia="標楷體" w:hAnsi="Times New Roman" w:cs="Times New Roman" w:hint="eastAsia"/>
                <w:color w:val="00B050"/>
                <w:sz w:val="24"/>
                <w:szCs w:val="24"/>
              </w:rPr>
              <w:t>）</w:t>
            </w:r>
            <w:r w:rsidRPr="004076F0">
              <w:rPr>
                <w:rFonts w:ascii="Times New Roman" w:eastAsia="標楷體" w:hAnsi="Times New Roman" w:cs="Times New Roman"/>
                <w:color w:val="00B050"/>
                <w:sz w:val="24"/>
                <w:szCs w:val="24"/>
              </w:rPr>
              <w:t>優點</w:t>
            </w:r>
          </w:p>
          <w:p w:rsidR="004076F0" w:rsidRPr="004076F0" w:rsidRDefault="004076F0" w:rsidP="004076F0">
            <w:pPr>
              <w:pStyle w:val="a4"/>
              <w:numPr>
                <w:ilvl w:val="0"/>
                <w:numId w:val="1"/>
              </w:numPr>
              <w:ind w:leftChars="0" w:left="1025"/>
              <w:jc w:val="both"/>
              <w:rPr>
                <w:rFonts w:ascii="Times New Roman" w:eastAsia="標楷體" w:hAnsi="Times New Roman" w:cs="Times New Roman"/>
                <w:color w:val="00B050"/>
                <w:sz w:val="24"/>
                <w:szCs w:val="24"/>
              </w:rPr>
            </w:pPr>
            <w:r w:rsidRPr="004076F0">
              <w:rPr>
                <w:rFonts w:ascii="Times New Roman" w:eastAsia="標楷體" w:hAnsi="Times New Roman" w:cs="Times New Roman"/>
                <w:color w:val="00B050"/>
                <w:sz w:val="24"/>
                <w:szCs w:val="24"/>
              </w:rPr>
              <w:t>所規劃之</w:t>
            </w:r>
            <w:r w:rsidRPr="004076F0">
              <w:rPr>
                <w:rFonts w:ascii="Times New Roman" w:eastAsia="標楷體" w:hAnsi="Times New Roman" w:cs="Times New Roman"/>
                <w:color w:val="00B050"/>
                <w:sz w:val="24"/>
                <w:szCs w:val="24"/>
              </w:rPr>
              <w:t>114</w:t>
            </w:r>
            <w:r w:rsidRPr="004076F0">
              <w:rPr>
                <w:rFonts w:ascii="Times New Roman" w:eastAsia="標楷體" w:hAnsi="Times New Roman" w:cs="Times New Roman"/>
                <w:color w:val="00B050"/>
                <w:sz w:val="24"/>
                <w:szCs w:val="24"/>
              </w:rPr>
              <w:t>學年度推動重點包括定期會議與增能研習、到校輔導、教案分享、公開授課、教學評量研習等項目，符合原住民族教育分團之本務。</w:t>
            </w:r>
          </w:p>
          <w:p w:rsidR="004076F0" w:rsidRPr="004076F0" w:rsidRDefault="004076F0" w:rsidP="004076F0">
            <w:pPr>
              <w:pStyle w:val="a4"/>
              <w:numPr>
                <w:ilvl w:val="0"/>
                <w:numId w:val="1"/>
              </w:numPr>
              <w:ind w:leftChars="0" w:left="1025"/>
              <w:jc w:val="both"/>
              <w:rPr>
                <w:rFonts w:ascii="Times New Roman" w:eastAsia="標楷體" w:hAnsi="Times New Roman" w:cs="Times New Roman"/>
                <w:color w:val="00B050"/>
                <w:sz w:val="24"/>
                <w:szCs w:val="24"/>
              </w:rPr>
            </w:pPr>
            <w:r w:rsidRPr="004076F0">
              <w:rPr>
                <w:rFonts w:ascii="Times New Roman" w:eastAsia="標楷體" w:hAnsi="Times New Roman" w:cs="Times New Roman"/>
                <w:color w:val="00B050"/>
                <w:sz w:val="24"/>
                <w:szCs w:val="24"/>
              </w:rPr>
              <w:t>經費編列尚稱合理並能依相關要點之標準編列。</w:t>
            </w:r>
          </w:p>
          <w:p w:rsidR="004076F0" w:rsidRPr="004076F0" w:rsidRDefault="004076F0" w:rsidP="004076F0">
            <w:pPr>
              <w:pStyle w:val="a4"/>
              <w:numPr>
                <w:ilvl w:val="0"/>
                <w:numId w:val="1"/>
              </w:numPr>
              <w:ind w:leftChars="0" w:left="1025"/>
              <w:jc w:val="both"/>
              <w:rPr>
                <w:rFonts w:ascii="Times New Roman" w:eastAsia="標楷體" w:hAnsi="Times New Roman" w:cs="Times New Roman"/>
                <w:color w:val="00B050"/>
                <w:sz w:val="24"/>
                <w:szCs w:val="24"/>
              </w:rPr>
            </w:pPr>
            <w:r w:rsidRPr="004076F0">
              <w:rPr>
                <w:rFonts w:ascii="Times New Roman" w:eastAsia="標楷體" w:hAnsi="Times New Roman" w:cs="Times New Roman"/>
                <w:color w:val="00B050"/>
                <w:sz w:val="24"/>
                <w:szCs w:val="24"/>
              </w:rPr>
              <w:t>分團組織職掌與架構完整，人員分工明確，有利於團務之推動。</w:t>
            </w:r>
          </w:p>
          <w:p w:rsidR="004076F0" w:rsidRPr="004076F0" w:rsidRDefault="004076F0" w:rsidP="004076F0">
            <w:pPr>
              <w:pStyle w:val="a4"/>
              <w:numPr>
                <w:ilvl w:val="0"/>
                <w:numId w:val="1"/>
              </w:numPr>
              <w:ind w:leftChars="0" w:left="1025"/>
              <w:jc w:val="both"/>
              <w:rPr>
                <w:rFonts w:ascii="Times New Roman" w:eastAsia="標楷體" w:hAnsi="Times New Roman" w:cs="Times New Roman"/>
                <w:color w:val="00B050"/>
                <w:sz w:val="24"/>
                <w:szCs w:val="24"/>
              </w:rPr>
            </w:pPr>
            <w:r w:rsidRPr="004076F0">
              <w:rPr>
                <w:rFonts w:ascii="Times New Roman" w:eastAsia="標楷體" w:hAnsi="Times New Roman" w:cs="Times New Roman"/>
                <w:color w:val="00B050"/>
                <w:sz w:val="24"/>
                <w:szCs w:val="24"/>
              </w:rPr>
              <w:t>所訂</w:t>
            </w:r>
            <w:r w:rsidRPr="004076F0">
              <w:rPr>
                <w:rFonts w:ascii="Times New Roman" w:eastAsia="標楷體" w:hAnsi="Times New Roman" w:cs="Times New Roman"/>
                <w:color w:val="00B050"/>
                <w:sz w:val="24"/>
                <w:szCs w:val="24"/>
              </w:rPr>
              <w:t>114</w:t>
            </w:r>
            <w:r w:rsidRPr="004076F0">
              <w:rPr>
                <w:rFonts w:ascii="Times New Roman" w:eastAsia="標楷體" w:hAnsi="Times New Roman" w:cs="Times New Roman"/>
                <w:color w:val="00B050"/>
                <w:sz w:val="24"/>
                <w:szCs w:val="24"/>
              </w:rPr>
              <w:t>學年度行事曆具體且詳細，對於各項工作均能清楚的載明。</w:t>
            </w:r>
          </w:p>
          <w:p w:rsidR="004076F0" w:rsidRPr="004076F0" w:rsidRDefault="004076F0" w:rsidP="004C52D1">
            <w:pPr>
              <w:jc w:val="both"/>
              <w:rPr>
                <w:rFonts w:ascii="Times New Roman" w:eastAsia="標楷體" w:hAnsi="Times New Roman" w:cs="Times New Roman"/>
                <w:color w:val="00B0F0"/>
                <w:sz w:val="24"/>
                <w:szCs w:val="24"/>
              </w:rPr>
            </w:pPr>
            <w:r w:rsidRPr="004076F0">
              <w:rPr>
                <w:rFonts w:ascii="Times New Roman" w:eastAsia="標楷體" w:hAnsi="Times New Roman" w:cs="Times New Roman" w:hint="eastAsia"/>
                <w:color w:val="00B0F0"/>
                <w:sz w:val="24"/>
                <w:szCs w:val="24"/>
              </w:rPr>
              <w:t>（</w:t>
            </w:r>
            <w:r w:rsidRPr="004076F0">
              <w:rPr>
                <w:rFonts w:ascii="Times New Roman" w:eastAsia="標楷體" w:hAnsi="Times New Roman" w:cs="Times New Roman"/>
                <w:color w:val="00B0F0"/>
                <w:sz w:val="24"/>
                <w:szCs w:val="24"/>
              </w:rPr>
              <w:t>二</w:t>
            </w:r>
            <w:r w:rsidRPr="004076F0">
              <w:rPr>
                <w:rFonts w:ascii="Times New Roman" w:eastAsia="標楷體" w:hAnsi="Times New Roman" w:cs="Times New Roman" w:hint="eastAsia"/>
                <w:color w:val="00B0F0"/>
                <w:sz w:val="24"/>
                <w:szCs w:val="24"/>
              </w:rPr>
              <w:t>）</w:t>
            </w:r>
            <w:r w:rsidRPr="004076F0">
              <w:rPr>
                <w:rFonts w:ascii="Times New Roman" w:eastAsia="標楷體" w:hAnsi="Times New Roman" w:cs="Times New Roman"/>
                <w:color w:val="00B0F0"/>
                <w:sz w:val="24"/>
                <w:szCs w:val="24"/>
              </w:rPr>
              <w:t>立即性修正建議</w:t>
            </w:r>
          </w:p>
          <w:p w:rsidR="00B9309A" w:rsidRDefault="004076F0" w:rsidP="004076F0">
            <w:pPr>
              <w:pStyle w:val="a4"/>
              <w:numPr>
                <w:ilvl w:val="0"/>
                <w:numId w:val="2"/>
              </w:numPr>
              <w:ind w:leftChars="0" w:left="1025" w:hanging="380"/>
              <w:jc w:val="both"/>
              <w:rPr>
                <w:rFonts w:ascii="Times New Roman" w:eastAsia="標楷體" w:hAnsi="Times New Roman" w:cs="Times New Roman"/>
                <w:color w:val="00B0F0"/>
                <w:sz w:val="24"/>
                <w:szCs w:val="24"/>
              </w:rPr>
            </w:pPr>
            <w:r w:rsidRPr="004076F0">
              <w:rPr>
                <w:rFonts w:ascii="Times New Roman" w:eastAsia="標楷體" w:hAnsi="Times New Roman" w:cs="Times New Roman"/>
                <w:color w:val="00B0F0"/>
                <w:sz w:val="24"/>
                <w:szCs w:val="24"/>
              </w:rPr>
              <w:t>各項工作任務方案請能補充參加對象人數、以及符合該方案的具體量化預期成效。</w:t>
            </w:r>
          </w:p>
          <w:p w:rsidR="004076F0" w:rsidRPr="004076F0" w:rsidRDefault="00B9309A" w:rsidP="004076F0">
            <w:pPr>
              <w:pStyle w:val="a4"/>
              <w:numPr>
                <w:ilvl w:val="0"/>
                <w:numId w:val="2"/>
              </w:numPr>
              <w:ind w:leftChars="0" w:left="1025" w:hanging="380"/>
              <w:jc w:val="both"/>
              <w:rPr>
                <w:rFonts w:ascii="Times New Roman" w:eastAsia="標楷體" w:hAnsi="Times New Roman" w:cs="Times New Roman"/>
                <w:color w:val="00B0F0"/>
                <w:sz w:val="24"/>
                <w:szCs w:val="24"/>
              </w:rPr>
            </w:pPr>
            <w:r w:rsidRPr="00B9309A">
              <w:rPr>
                <w:rFonts w:ascii="Times New Roman" w:eastAsia="標楷體" w:hAnsi="Times New Roman" w:cs="Times New Roman" w:hint="eastAsia"/>
                <w:color w:val="00B050"/>
                <w:sz w:val="24"/>
                <w:szCs w:val="24"/>
              </w:rPr>
              <w:t>（已於各</w:t>
            </w:r>
            <w:r w:rsidR="00C12F00">
              <w:rPr>
                <w:rFonts w:ascii="Times New Roman" w:eastAsia="標楷體" w:hAnsi="Times New Roman" w:cs="Times New Roman" w:hint="eastAsia"/>
                <w:color w:val="00B050"/>
                <w:sz w:val="24"/>
                <w:szCs w:val="24"/>
              </w:rPr>
              <w:t>子</w:t>
            </w:r>
            <w:r w:rsidRPr="00B9309A">
              <w:rPr>
                <w:rFonts w:ascii="Times New Roman" w:eastAsia="標楷體" w:hAnsi="Times New Roman" w:cs="Times New Roman" w:hint="eastAsia"/>
                <w:color w:val="00B050"/>
                <w:sz w:val="24"/>
                <w:szCs w:val="24"/>
              </w:rPr>
              <w:t>計畫中</w:t>
            </w:r>
            <w:r>
              <w:rPr>
                <w:rFonts w:ascii="Times New Roman" w:eastAsia="標楷體" w:hAnsi="Times New Roman" w:cs="Times New Roman"/>
                <w:color w:val="00B050"/>
                <w:sz w:val="24"/>
                <w:szCs w:val="24"/>
              </w:rPr>
              <w:t>P.</w:t>
            </w:r>
            <w:r w:rsidR="00C12F00">
              <w:rPr>
                <w:rFonts w:ascii="Times New Roman" w:eastAsia="標楷體" w:hAnsi="Times New Roman" w:cs="Times New Roman"/>
                <w:color w:val="00B050"/>
                <w:sz w:val="24"/>
                <w:szCs w:val="24"/>
              </w:rPr>
              <w:t>19</w:t>
            </w:r>
            <w:r w:rsidR="00C12F00">
              <w:rPr>
                <w:rFonts w:ascii="Times New Roman" w:eastAsia="標楷體" w:hAnsi="Times New Roman" w:cs="Times New Roman" w:hint="eastAsia"/>
                <w:color w:val="00B050"/>
                <w:sz w:val="24"/>
                <w:szCs w:val="24"/>
              </w:rPr>
              <w:t>、</w:t>
            </w:r>
            <w:r w:rsidR="00C12F00">
              <w:rPr>
                <w:rFonts w:ascii="Times New Roman" w:eastAsia="標楷體" w:hAnsi="Times New Roman" w:cs="Times New Roman" w:hint="eastAsia"/>
                <w:color w:val="00B050"/>
                <w:sz w:val="24"/>
                <w:szCs w:val="24"/>
              </w:rPr>
              <w:t>P</w:t>
            </w:r>
            <w:r w:rsidR="00C12F00">
              <w:rPr>
                <w:rFonts w:ascii="Times New Roman" w:eastAsia="標楷體" w:hAnsi="Times New Roman" w:cs="Times New Roman"/>
                <w:color w:val="00B050"/>
                <w:sz w:val="24"/>
                <w:szCs w:val="24"/>
              </w:rPr>
              <w:t>.23</w:t>
            </w:r>
            <w:r w:rsidR="00C12F00">
              <w:rPr>
                <w:rFonts w:ascii="Times New Roman" w:eastAsia="標楷體" w:hAnsi="Times New Roman" w:cs="Times New Roman" w:hint="eastAsia"/>
                <w:color w:val="00B050"/>
                <w:sz w:val="24"/>
                <w:szCs w:val="24"/>
              </w:rPr>
              <w:t>、</w:t>
            </w:r>
            <w:r w:rsidR="00C12F00">
              <w:rPr>
                <w:rFonts w:ascii="Times New Roman" w:eastAsia="標楷體" w:hAnsi="Times New Roman" w:cs="Times New Roman"/>
                <w:color w:val="00B050"/>
                <w:sz w:val="24"/>
                <w:szCs w:val="24"/>
              </w:rPr>
              <w:t>P.25</w:t>
            </w:r>
            <w:r w:rsidRPr="00B9309A">
              <w:rPr>
                <w:rFonts w:ascii="Times New Roman" w:eastAsia="標楷體" w:hAnsi="Times New Roman" w:cs="Times New Roman" w:hint="eastAsia"/>
                <w:color w:val="00B050"/>
                <w:sz w:val="24"/>
                <w:szCs w:val="24"/>
              </w:rPr>
              <w:t>）</w:t>
            </w:r>
          </w:p>
          <w:p w:rsidR="004076F0" w:rsidRDefault="004076F0" w:rsidP="004076F0">
            <w:pPr>
              <w:pStyle w:val="a4"/>
              <w:numPr>
                <w:ilvl w:val="0"/>
                <w:numId w:val="2"/>
              </w:numPr>
              <w:ind w:leftChars="0" w:left="1025" w:hanging="380"/>
              <w:jc w:val="both"/>
              <w:rPr>
                <w:rFonts w:ascii="Times New Roman" w:eastAsia="標楷體" w:hAnsi="Times New Roman" w:cs="Times New Roman"/>
                <w:color w:val="00B0F0"/>
                <w:sz w:val="24"/>
                <w:szCs w:val="24"/>
              </w:rPr>
            </w:pPr>
            <w:r w:rsidRPr="004076F0">
              <w:rPr>
                <w:rFonts w:ascii="Times New Roman" w:eastAsia="標楷體" w:hAnsi="Times New Roman" w:cs="Times New Roman"/>
                <w:color w:val="00B0F0"/>
                <w:sz w:val="24"/>
                <w:szCs w:val="24"/>
              </w:rPr>
              <w:t>現階段各校對於原住民族教育或全民原教的意義、實施策略、課程發展與設計、議題融入等等均頗陌生，建議增加到校輔導的次數，以期更快達成政策的目標。</w:t>
            </w:r>
          </w:p>
          <w:p w:rsidR="00B9309A" w:rsidRPr="00B9309A" w:rsidRDefault="00B9309A" w:rsidP="00B9309A">
            <w:pPr>
              <w:pStyle w:val="a4"/>
              <w:numPr>
                <w:ilvl w:val="0"/>
                <w:numId w:val="2"/>
              </w:numPr>
              <w:ind w:leftChars="0" w:left="1025" w:hanging="380"/>
              <w:jc w:val="both"/>
              <w:rPr>
                <w:rFonts w:ascii="Times New Roman" w:eastAsia="標楷體" w:hAnsi="Times New Roman" w:cs="Times New Roman"/>
                <w:color w:val="00B0F0"/>
                <w:sz w:val="24"/>
                <w:szCs w:val="24"/>
              </w:rPr>
            </w:pPr>
            <w:r w:rsidRPr="00B9309A">
              <w:rPr>
                <w:rFonts w:ascii="Times New Roman" w:eastAsia="標楷體" w:hAnsi="Times New Roman" w:cs="Times New Roman" w:hint="eastAsia"/>
                <w:color w:val="00B050"/>
                <w:sz w:val="24"/>
                <w:szCs w:val="24"/>
              </w:rPr>
              <w:t>（</w:t>
            </w:r>
            <w:r>
              <w:rPr>
                <w:rFonts w:ascii="Times New Roman" w:eastAsia="標楷體" w:hAnsi="Times New Roman" w:cs="Times New Roman" w:hint="eastAsia"/>
                <w:color w:val="00B050"/>
                <w:sz w:val="24"/>
                <w:szCs w:val="24"/>
              </w:rPr>
              <w:t>本團已增加至八場</w:t>
            </w:r>
            <w:r w:rsidR="00C12F00">
              <w:rPr>
                <w:rFonts w:ascii="Times New Roman" w:eastAsia="標楷體" w:hAnsi="Times New Roman" w:cs="Times New Roman"/>
                <w:color w:val="00B050"/>
                <w:sz w:val="24"/>
                <w:szCs w:val="24"/>
              </w:rPr>
              <w:t>P.20-23</w:t>
            </w:r>
            <w:r w:rsidRPr="00B9309A">
              <w:rPr>
                <w:rFonts w:ascii="Times New Roman" w:eastAsia="標楷體" w:hAnsi="Times New Roman" w:cs="Times New Roman" w:hint="eastAsia"/>
                <w:color w:val="00B050"/>
                <w:sz w:val="24"/>
                <w:szCs w:val="24"/>
              </w:rPr>
              <w:t>）</w:t>
            </w:r>
          </w:p>
          <w:p w:rsidR="004076F0" w:rsidRDefault="004076F0" w:rsidP="004076F0">
            <w:pPr>
              <w:pStyle w:val="a4"/>
              <w:numPr>
                <w:ilvl w:val="0"/>
                <w:numId w:val="2"/>
              </w:numPr>
              <w:ind w:leftChars="0" w:left="1025" w:hanging="380"/>
              <w:jc w:val="both"/>
              <w:rPr>
                <w:rFonts w:ascii="Times New Roman" w:eastAsia="標楷體" w:hAnsi="Times New Roman" w:cs="Times New Roman"/>
                <w:color w:val="00B0F0"/>
                <w:sz w:val="24"/>
                <w:szCs w:val="24"/>
              </w:rPr>
            </w:pPr>
            <w:r w:rsidRPr="004076F0">
              <w:rPr>
                <w:rFonts w:ascii="Times New Roman" w:eastAsia="標楷體" w:hAnsi="Times New Roman" w:cs="Times New Roman"/>
                <w:color w:val="00B0F0"/>
                <w:sz w:val="24"/>
                <w:szCs w:val="24"/>
              </w:rPr>
              <w:t>建議增加與原住民族教育相關的教材分析之專業成長。</w:t>
            </w:r>
          </w:p>
          <w:p w:rsidR="00213335" w:rsidRPr="00213335" w:rsidRDefault="00213335" w:rsidP="00213335">
            <w:pPr>
              <w:pStyle w:val="a4"/>
              <w:numPr>
                <w:ilvl w:val="0"/>
                <w:numId w:val="2"/>
              </w:numPr>
              <w:ind w:leftChars="0" w:left="1025" w:hanging="380"/>
              <w:jc w:val="both"/>
              <w:rPr>
                <w:rFonts w:ascii="Times New Roman" w:eastAsia="標楷體" w:hAnsi="Times New Roman" w:cs="Times New Roman"/>
                <w:color w:val="00B0F0"/>
                <w:sz w:val="24"/>
                <w:szCs w:val="24"/>
              </w:rPr>
            </w:pPr>
            <w:r w:rsidRPr="00B9309A">
              <w:rPr>
                <w:rFonts w:ascii="Times New Roman" w:eastAsia="標楷體" w:hAnsi="Times New Roman" w:cs="Times New Roman" w:hint="eastAsia"/>
                <w:color w:val="00B050"/>
                <w:sz w:val="24"/>
                <w:szCs w:val="24"/>
              </w:rPr>
              <w:t>（</w:t>
            </w:r>
            <w:r w:rsidR="002F260B">
              <w:rPr>
                <w:rFonts w:ascii="Times New Roman" w:eastAsia="標楷體" w:hAnsi="Times New Roman" w:cs="Times New Roman" w:hint="eastAsia"/>
                <w:color w:val="00B050"/>
                <w:sz w:val="24"/>
                <w:szCs w:val="24"/>
              </w:rPr>
              <w:t>已</w:t>
            </w:r>
            <w:r>
              <w:rPr>
                <w:rFonts w:ascii="Times New Roman" w:eastAsia="標楷體" w:hAnsi="Times New Roman" w:cs="Times New Roman" w:hint="eastAsia"/>
                <w:color w:val="00B050"/>
                <w:sz w:val="24"/>
                <w:szCs w:val="24"/>
              </w:rPr>
              <w:t>增加於子計畫八</w:t>
            </w:r>
            <w:r w:rsidRPr="00B9309A">
              <w:rPr>
                <w:rFonts w:ascii="Times New Roman" w:eastAsia="標楷體" w:hAnsi="Times New Roman" w:cs="Times New Roman" w:hint="eastAsia"/>
                <w:color w:val="00B050"/>
                <w:sz w:val="24"/>
                <w:szCs w:val="24"/>
              </w:rPr>
              <w:t>）</w:t>
            </w:r>
          </w:p>
          <w:p w:rsidR="004076F0" w:rsidRPr="004076F0" w:rsidRDefault="004076F0" w:rsidP="004076F0">
            <w:pPr>
              <w:pStyle w:val="a4"/>
              <w:numPr>
                <w:ilvl w:val="0"/>
                <w:numId w:val="2"/>
              </w:numPr>
              <w:ind w:leftChars="0" w:left="1025" w:hanging="380"/>
              <w:jc w:val="both"/>
              <w:rPr>
                <w:rFonts w:ascii="Times New Roman" w:eastAsia="標楷體" w:hAnsi="Times New Roman" w:cs="Times New Roman"/>
                <w:color w:val="00B0F0"/>
                <w:sz w:val="24"/>
                <w:szCs w:val="24"/>
              </w:rPr>
            </w:pPr>
            <w:r w:rsidRPr="004076F0">
              <w:rPr>
                <w:rFonts w:ascii="Times New Roman" w:eastAsia="標楷體" w:hAnsi="Times New Roman" w:cs="Times New Roman"/>
                <w:color w:val="00B0F0"/>
                <w:sz w:val="24"/>
                <w:szCs w:val="24"/>
              </w:rPr>
              <w:t>在計畫</w:t>
            </w:r>
            <w:r w:rsidRPr="004076F0">
              <w:rPr>
                <w:rFonts w:ascii="Times New Roman" w:eastAsia="標楷體" w:hAnsi="Times New Roman" w:cs="Times New Roman"/>
                <w:color w:val="00B0F0"/>
                <w:sz w:val="24"/>
                <w:szCs w:val="24"/>
              </w:rPr>
              <w:t>P.15</w:t>
            </w:r>
            <w:r w:rsidRPr="004076F0">
              <w:rPr>
                <w:rFonts w:ascii="Times New Roman" w:eastAsia="標楷體" w:hAnsi="Times New Roman" w:cs="Times New Roman"/>
                <w:color w:val="00B0F0"/>
                <w:sz w:val="24"/>
                <w:szCs w:val="24"/>
              </w:rPr>
              <w:t>執行方案的項次</w:t>
            </w:r>
            <w:r w:rsidRPr="004076F0">
              <w:rPr>
                <w:rFonts w:ascii="Times New Roman" w:eastAsia="標楷體" w:hAnsi="Times New Roman" w:cs="Times New Roman"/>
                <w:color w:val="00B0F0"/>
                <w:sz w:val="24"/>
                <w:szCs w:val="24"/>
              </w:rPr>
              <w:t>2</w:t>
            </w:r>
            <w:r w:rsidRPr="004076F0">
              <w:rPr>
                <w:rFonts w:ascii="Times New Roman" w:eastAsia="標楷體" w:hAnsi="Times New Roman" w:cs="Times New Roman"/>
                <w:color w:val="00B0F0"/>
                <w:sz w:val="24"/>
                <w:szCs w:val="24"/>
              </w:rPr>
              <w:t>，規劃研習二場次</w:t>
            </w:r>
            <w:r w:rsidR="00213335" w:rsidRPr="00213335">
              <w:rPr>
                <w:rFonts w:ascii="Times New Roman" w:eastAsia="標楷體" w:hAnsi="Times New Roman" w:cs="Times New Roman" w:hint="eastAsia"/>
                <w:color w:val="00B050"/>
                <w:sz w:val="24"/>
                <w:szCs w:val="24"/>
              </w:rPr>
              <w:t>（修正為</w:t>
            </w:r>
            <w:r w:rsidR="002F260B">
              <w:rPr>
                <w:rFonts w:ascii="Times New Roman" w:eastAsia="標楷體" w:hAnsi="Times New Roman" w:cs="Times New Roman" w:hint="eastAsia"/>
                <w:color w:val="00B050"/>
                <w:sz w:val="24"/>
                <w:szCs w:val="24"/>
              </w:rPr>
              <w:t>三</w:t>
            </w:r>
            <w:r w:rsidR="00213335" w:rsidRPr="00213335">
              <w:rPr>
                <w:rFonts w:ascii="Times New Roman" w:eastAsia="標楷體" w:hAnsi="Times New Roman" w:cs="Times New Roman" w:hint="eastAsia"/>
                <w:color w:val="00B050"/>
                <w:sz w:val="24"/>
                <w:szCs w:val="24"/>
              </w:rPr>
              <w:t>場次）</w:t>
            </w:r>
            <w:r w:rsidRPr="004076F0">
              <w:rPr>
                <w:rFonts w:ascii="Times New Roman" w:eastAsia="標楷體" w:hAnsi="Times New Roman" w:cs="Times New Roman"/>
                <w:color w:val="00B0F0"/>
                <w:sz w:val="24"/>
                <w:szCs w:val="24"/>
              </w:rPr>
              <w:t>，但辦理時間卻規劃四天，建議再確認並修正。項次</w:t>
            </w:r>
            <w:r w:rsidRPr="004076F0">
              <w:rPr>
                <w:rFonts w:ascii="Times New Roman" w:eastAsia="標楷體" w:hAnsi="Times New Roman" w:cs="Times New Roman"/>
                <w:color w:val="00B0F0"/>
                <w:sz w:val="24"/>
                <w:szCs w:val="24"/>
              </w:rPr>
              <w:t>5</w:t>
            </w:r>
            <w:r w:rsidRPr="004076F0">
              <w:rPr>
                <w:rFonts w:ascii="Times New Roman" w:eastAsia="標楷體" w:hAnsi="Times New Roman" w:cs="Times New Roman"/>
                <w:color w:val="00B0F0"/>
                <w:sz w:val="24"/>
                <w:szCs w:val="24"/>
              </w:rPr>
              <w:t>，有關辦理學生升學困難</w:t>
            </w:r>
            <w:r w:rsidR="00213335" w:rsidRPr="00213335">
              <w:rPr>
                <w:rFonts w:ascii="Times New Roman" w:eastAsia="標楷體" w:hAnsi="Times New Roman" w:cs="Times New Roman" w:hint="eastAsia"/>
                <w:color w:val="00B050"/>
                <w:sz w:val="24"/>
                <w:szCs w:val="24"/>
              </w:rPr>
              <w:t>（</w:t>
            </w:r>
            <w:r w:rsidR="002F260B">
              <w:rPr>
                <w:rFonts w:ascii="Times New Roman" w:eastAsia="標楷體" w:hAnsi="Times New Roman" w:cs="Times New Roman" w:hint="eastAsia"/>
                <w:color w:val="00B050"/>
                <w:sz w:val="24"/>
                <w:szCs w:val="24"/>
              </w:rPr>
              <w:t>已修正</w:t>
            </w:r>
            <w:r w:rsidR="00213335" w:rsidRPr="00213335">
              <w:rPr>
                <w:rFonts w:ascii="Times New Roman" w:eastAsia="標楷體" w:hAnsi="Times New Roman" w:cs="Times New Roman" w:hint="eastAsia"/>
                <w:color w:val="00B050"/>
                <w:sz w:val="24"/>
                <w:szCs w:val="24"/>
              </w:rPr>
              <w:t>）</w:t>
            </w:r>
            <w:r w:rsidRPr="004076F0">
              <w:rPr>
                <w:rFonts w:ascii="Times New Roman" w:eastAsia="標楷體" w:hAnsi="Times New Roman" w:cs="Times New Roman"/>
                <w:color w:val="00B0F0"/>
                <w:sz w:val="24"/>
                <w:szCs w:val="24"/>
              </w:rPr>
              <w:t>問題，因該業務不屬輔導團業務，且國教署原特組已委託東華大學宜花區協作中心辦理這項業務，故建議不需辦理此業務。</w:t>
            </w:r>
          </w:p>
          <w:p w:rsidR="004076F0" w:rsidRPr="004076F0" w:rsidRDefault="004076F0" w:rsidP="004076F0">
            <w:pPr>
              <w:pStyle w:val="a4"/>
              <w:numPr>
                <w:ilvl w:val="0"/>
                <w:numId w:val="2"/>
              </w:numPr>
              <w:ind w:leftChars="0" w:left="1025" w:hanging="380"/>
              <w:jc w:val="both"/>
              <w:rPr>
                <w:rFonts w:ascii="Times New Roman" w:eastAsia="標楷體" w:hAnsi="Times New Roman" w:cs="Times New Roman"/>
                <w:color w:val="00B0F0"/>
                <w:sz w:val="24"/>
                <w:szCs w:val="24"/>
              </w:rPr>
            </w:pPr>
            <w:r w:rsidRPr="004076F0">
              <w:rPr>
                <w:rFonts w:ascii="Times New Roman" w:eastAsia="標楷體" w:hAnsi="Times New Roman" w:cs="Times New Roman"/>
                <w:color w:val="00B0F0"/>
                <w:sz w:val="24"/>
                <w:szCs w:val="24"/>
              </w:rPr>
              <w:t>建議原住民族教育輔導團於辦理各項業務時，應與原住民族教育資源中心透過資源整合之策略，擴大綜整之成效。</w:t>
            </w:r>
            <w:r w:rsidR="00213335" w:rsidRPr="00213335">
              <w:rPr>
                <w:rFonts w:ascii="Times New Roman" w:eastAsia="標楷體" w:hAnsi="Times New Roman" w:cs="Times New Roman" w:hint="eastAsia"/>
                <w:color w:val="00B050"/>
                <w:sz w:val="24"/>
                <w:szCs w:val="24"/>
              </w:rPr>
              <w:t>（未來將成果展實體於化</w:t>
            </w:r>
            <w:r w:rsidR="003435FF">
              <w:rPr>
                <w:rFonts w:ascii="Times New Roman" w:eastAsia="標楷體" w:hAnsi="Times New Roman" w:cs="Times New Roman" w:hint="eastAsia"/>
                <w:color w:val="00B050"/>
                <w:sz w:val="24"/>
                <w:szCs w:val="24"/>
              </w:rPr>
              <w:t>仁</w:t>
            </w:r>
            <w:r w:rsidR="00213335" w:rsidRPr="00213335">
              <w:rPr>
                <w:rFonts w:ascii="Times New Roman" w:eastAsia="標楷體" w:hAnsi="Times New Roman" w:cs="Times New Roman" w:hint="eastAsia"/>
                <w:color w:val="00B050"/>
                <w:sz w:val="24"/>
                <w:szCs w:val="24"/>
              </w:rPr>
              <w:t>國小，網站展於原住民教育資源中心網站）</w:t>
            </w:r>
          </w:p>
          <w:p w:rsidR="004076F0" w:rsidRPr="004076F0" w:rsidRDefault="004076F0" w:rsidP="004C52D1">
            <w:pPr>
              <w:rPr>
                <w:rFonts w:ascii="標楷體" w:eastAsia="標楷體" w:hAnsi="標楷體"/>
                <w:color w:val="7030A0"/>
                <w:sz w:val="24"/>
                <w:szCs w:val="24"/>
              </w:rPr>
            </w:pPr>
            <w:r w:rsidRPr="004076F0">
              <w:rPr>
                <w:rFonts w:ascii="標楷體" w:eastAsia="標楷體" w:hAnsi="標楷體" w:hint="eastAsia"/>
                <w:color w:val="7030A0"/>
                <w:sz w:val="24"/>
                <w:szCs w:val="24"/>
              </w:rPr>
              <w:t>（三）中長程建議</w:t>
            </w:r>
          </w:p>
          <w:p w:rsidR="002F260B" w:rsidRDefault="004076F0" w:rsidP="004076F0">
            <w:pPr>
              <w:pStyle w:val="a4"/>
              <w:numPr>
                <w:ilvl w:val="0"/>
                <w:numId w:val="3"/>
              </w:numPr>
              <w:ind w:leftChars="0" w:left="1025"/>
              <w:jc w:val="both"/>
              <w:rPr>
                <w:rFonts w:ascii="標楷體" w:eastAsia="標楷體" w:hAnsi="標楷體"/>
                <w:color w:val="7030A0"/>
                <w:sz w:val="24"/>
                <w:szCs w:val="24"/>
              </w:rPr>
            </w:pPr>
            <w:r w:rsidRPr="004076F0">
              <w:rPr>
                <w:rFonts w:ascii="標楷體" w:eastAsia="標楷體" w:hAnsi="標楷體" w:hint="eastAsia"/>
                <w:color w:val="7030A0"/>
                <w:sz w:val="24"/>
                <w:szCs w:val="24"/>
              </w:rPr>
              <w:t>建議在未來幾年的分團計畫，能增加將原住民族議題發展與設計為學校校訂課程的學校數，而不只是活動的辦理而已，以提升全民原教的政策成效。</w:t>
            </w:r>
          </w:p>
          <w:p w:rsidR="004076F0" w:rsidRPr="002F260B" w:rsidRDefault="002F260B" w:rsidP="002F260B">
            <w:pPr>
              <w:pStyle w:val="a4"/>
              <w:ind w:leftChars="0" w:left="1025"/>
              <w:jc w:val="both"/>
              <w:rPr>
                <w:rFonts w:ascii="標楷體" w:eastAsia="標楷體" w:hAnsi="標楷體"/>
                <w:color w:val="00B050"/>
                <w:sz w:val="24"/>
                <w:szCs w:val="24"/>
              </w:rPr>
            </w:pPr>
            <w:r w:rsidRPr="002F260B">
              <w:rPr>
                <w:rFonts w:ascii="標楷體" w:eastAsia="標楷體" w:hAnsi="標楷體" w:hint="eastAsia"/>
                <w:color w:val="00B050"/>
                <w:sz w:val="24"/>
                <w:szCs w:val="24"/>
              </w:rPr>
              <w:t>（</w:t>
            </w:r>
            <w:r>
              <w:rPr>
                <w:rFonts w:ascii="標楷體" w:eastAsia="標楷體" w:hAnsi="標楷體"/>
                <w:color w:val="00B050"/>
                <w:sz w:val="24"/>
                <w:szCs w:val="24"/>
              </w:rPr>
              <w:t>114</w:t>
            </w:r>
            <w:r>
              <w:rPr>
                <w:rFonts w:ascii="標楷體" w:eastAsia="標楷體" w:hAnsi="標楷體" w:hint="eastAsia"/>
                <w:color w:val="00B050"/>
                <w:sz w:val="24"/>
                <w:szCs w:val="24"/>
              </w:rPr>
              <w:t>學年為第一年，</w:t>
            </w:r>
            <w:r w:rsidRPr="002F260B">
              <w:rPr>
                <w:rFonts w:ascii="標楷體" w:eastAsia="標楷體" w:hAnsi="標楷體" w:hint="eastAsia"/>
                <w:color w:val="00B050"/>
                <w:sz w:val="24"/>
                <w:szCs w:val="24"/>
              </w:rPr>
              <w:t>未來規劃會有策略與順序）</w:t>
            </w:r>
          </w:p>
          <w:p w:rsidR="004076F0" w:rsidRPr="002F260B" w:rsidRDefault="004076F0" w:rsidP="004076F0">
            <w:pPr>
              <w:pStyle w:val="a4"/>
              <w:numPr>
                <w:ilvl w:val="0"/>
                <w:numId w:val="3"/>
              </w:numPr>
              <w:ind w:leftChars="0" w:left="1025"/>
              <w:jc w:val="both"/>
              <w:rPr>
                <w:rFonts w:ascii="Times New Roman" w:eastAsia="標楷體" w:hAnsi="Times New Roman" w:cs="Times New Roman"/>
                <w:sz w:val="24"/>
                <w:szCs w:val="24"/>
              </w:rPr>
            </w:pPr>
            <w:r w:rsidRPr="004076F0">
              <w:rPr>
                <w:rFonts w:ascii="標楷體" w:eastAsia="標楷體" w:hAnsi="標楷體" w:hint="eastAsia"/>
                <w:color w:val="7030A0"/>
                <w:sz w:val="24"/>
                <w:szCs w:val="24"/>
              </w:rPr>
              <w:t>建議未來繼續增加本分團所研發的教材與教案推廣到學校應用的教師數量。</w:t>
            </w:r>
          </w:p>
          <w:p w:rsidR="002F260B" w:rsidRPr="002F260B" w:rsidRDefault="002F260B" w:rsidP="002F260B">
            <w:pPr>
              <w:pStyle w:val="a4"/>
              <w:ind w:leftChars="0" w:left="1025"/>
              <w:jc w:val="both"/>
              <w:rPr>
                <w:rFonts w:ascii="標楷體" w:eastAsia="標楷體" w:hAnsi="標楷體" w:hint="eastAsia"/>
                <w:color w:val="00B050"/>
                <w:sz w:val="24"/>
                <w:szCs w:val="24"/>
              </w:rPr>
            </w:pPr>
            <w:r w:rsidRPr="002F260B">
              <w:rPr>
                <w:rFonts w:ascii="標楷體" w:eastAsia="標楷體" w:hAnsi="標楷體" w:hint="eastAsia"/>
                <w:color w:val="00B050"/>
                <w:sz w:val="24"/>
                <w:szCs w:val="24"/>
              </w:rPr>
              <w:t>（</w:t>
            </w:r>
            <w:r>
              <w:rPr>
                <w:rFonts w:ascii="標楷體" w:eastAsia="標楷體" w:hAnsi="標楷體"/>
                <w:color w:val="00B050"/>
                <w:sz w:val="24"/>
                <w:szCs w:val="24"/>
              </w:rPr>
              <w:t>114</w:t>
            </w:r>
            <w:r>
              <w:rPr>
                <w:rFonts w:ascii="標楷體" w:eastAsia="標楷體" w:hAnsi="標楷體" w:hint="eastAsia"/>
                <w:color w:val="00B050"/>
                <w:sz w:val="24"/>
                <w:szCs w:val="24"/>
              </w:rPr>
              <w:t>學年為第一年，</w:t>
            </w:r>
            <w:r w:rsidRPr="002F260B">
              <w:rPr>
                <w:rFonts w:ascii="標楷體" w:eastAsia="標楷體" w:hAnsi="標楷體" w:hint="eastAsia"/>
                <w:color w:val="00B050"/>
                <w:sz w:val="24"/>
                <w:szCs w:val="24"/>
              </w:rPr>
              <w:t>未來規劃策略</w:t>
            </w:r>
            <w:r>
              <w:rPr>
                <w:rFonts w:ascii="標楷體" w:eastAsia="標楷體" w:hAnsi="標楷體" w:hint="eastAsia"/>
                <w:color w:val="00B050"/>
                <w:sz w:val="24"/>
                <w:szCs w:val="24"/>
              </w:rPr>
              <w:t>性教材教案之研發與推廣</w:t>
            </w:r>
            <w:r w:rsidRPr="002F260B">
              <w:rPr>
                <w:rFonts w:ascii="標楷體" w:eastAsia="標楷體" w:hAnsi="標楷體" w:hint="eastAsia"/>
                <w:color w:val="00B050"/>
                <w:sz w:val="24"/>
                <w:szCs w:val="24"/>
              </w:rPr>
              <w:t>）</w:t>
            </w:r>
          </w:p>
        </w:tc>
      </w:tr>
    </w:tbl>
    <w:p w:rsidR="004076F0" w:rsidRDefault="004076F0">
      <w:pPr>
        <w:rPr>
          <w:rFonts w:hint="eastAsia"/>
        </w:rPr>
      </w:pPr>
    </w:p>
    <w:sectPr w:rsidR="004076F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auKai">
    <w:panose1 w:val="02010601000101010101"/>
    <w:charset w:val="88"/>
    <w:family w:val="auto"/>
    <w:pitch w:val="variable"/>
    <w:sig w:usb0="00000001" w:usb1="08080000" w:usb2="00000010" w:usb3="00000000" w:csb0="00100001" w:csb1="00000000"/>
  </w:font>
  <w:font w:name="標楷體">
    <w:panose1 w:val="02010601000101010101"/>
    <w:charset w:val="88"/>
    <w:family w:val="auto"/>
    <w:pitch w:val="variable"/>
    <w:sig w:usb0="00000001"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A50"/>
    <w:multiLevelType w:val="hybridMultilevel"/>
    <w:tmpl w:val="6E8E9606"/>
    <w:lvl w:ilvl="0" w:tplc="FF4493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66E09"/>
    <w:multiLevelType w:val="hybridMultilevel"/>
    <w:tmpl w:val="62C239F8"/>
    <w:lvl w:ilvl="0" w:tplc="FF449354">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 w15:restartNumberingAfterBreak="0">
    <w:nsid w:val="29513C9C"/>
    <w:multiLevelType w:val="hybridMultilevel"/>
    <w:tmpl w:val="E3B88F96"/>
    <w:lvl w:ilvl="0" w:tplc="FF44935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146162844">
    <w:abstractNumId w:val="2"/>
  </w:num>
  <w:num w:numId="2" w16cid:durableId="472795375">
    <w:abstractNumId w:val="1"/>
  </w:num>
  <w:num w:numId="3" w16cid:durableId="56421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F0"/>
    <w:rsid w:val="00213335"/>
    <w:rsid w:val="002F260B"/>
    <w:rsid w:val="003435FF"/>
    <w:rsid w:val="004076F0"/>
    <w:rsid w:val="007F0749"/>
    <w:rsid w:val="00B9309A"/>
    <w:rsid w:val="00C12F00"/>
    <w:rsid w:val="00CD0C79"/>
    <w:rsid w:val="00F23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3761CC4"/>
  <w15:chartTrackingRefBased/>
  <w15:docId w15:val="{5E46707C-1A34-824D-9E46-1454C4A4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6F0"/>
    <w:pPr>
      <w:widowControl w:val="0"/>
      <w:autoSpaceDE w:val="0"/>
      <w:autoSpaceDN w:val="0"/>
    </w:pPr>
    <w:rPr>
      <w:rFonts w:ascii="新細明體" w:eastAsia="新細明體" w:hAnsi="新細明體" w:cs="新細明體"/>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39"/>
    <w:rsid w:val="004076F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5"/>
    <w:uiPriority w:val="34"/>
    <w:qFormat/>
    <w:rsid w:val="004076F0"/>
    <w:pPr>
      <w:ind w:leftChars="200" w:left="480"/>
    </w:pPr>
  </w:style>
  <w:style w:type="character" w:customStyle="1" w:styleId="a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4"/>
    <w:uiPriority w:val="34"/>
    <w:qFormat/>
    <w:locked/>
    <w:rsid w:val="004076F0"/>
    <w:rPr>
      <w:rFonts w:ascii="新細明體" w:eastAsia="新細明體" w:hAnsi="新細明體" w:cs="新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俊宏 呂</dc:creator>
  <cp:keywords/>
  <dc:description/>
  <cp:lastModifiedBy>俊宏 呂</cp:lastModifiedBy>
  <cp:revision>2</cp:revision>
  <dcterms:created xsi:type="dcterms:W3CDTF">2025-05-02T06:17:00Z</dcterms:created>
  <dcterms:modified xsi:type="dcterms:W3CDTF">2025-05-02T07:50:00Z</dcterms:modified>
</cp:coreProperties>
</file>