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8EC0" w14:textId="77777777" w:rsidR="00FE3DA4" w:rsidRPr="00810D36" w:rsidRDefault="00FE3DA4" w:rsidP="00810D36">
      <w:pPr>
        <w:adjustRightInd w:val="0"/>
        <w:snapToGrid w:val="0"/>
        <w:jc w:val="center"/>
        <w:rPr>
          <w:rFonts w:ascii="標楷體" w:eastAsia="標楷體" w:hAnsi="標楷體"/>
          <w:b/>
          <w:sz w:val="28"/>
        </w:rPr>
      </w:pPr>
      <w:r w:rsidRPr="00810D36">
        <w:rPr>
          <w:rFonts w:ascii="標楷體" w:eastAsia="標楷體" w:hAnsi="標楷體"/>
          <w:b/>
          <w:sz w:val="28"/>
        </w:rPr>
        <w:t>11</w:t>
      </w:r>
      <w:r w:rsidRPr="00810D36">
        <w:rPr>
          <w:rFonts w:ascii="標楷體" w:eastAsia="標楷體" w:hAnsi="標楷體" w:hint="eastAsia"/>
          <w:b/>
          <w:sz w:val="28"/>
        </w:rPr>
        <w:t>4</w:t>
      </w:r>
      <w:r w:rsidRPr="00810D36">
        <w:rPr>
          <w:rFonts w:ascii="標楷體" w:eastAsia="標楷體" w:hAnsi="標楷體"/>
          <w:b/>
          <w:sz w:val="28"/>
        </w:rPr>
        <w:t>學年度精進國民中學及國民小學教師教學專業與課程品質計畫</w:t>
      </w:r>
    </w:p>
    <w:p w14:paraId="78DF42EC" w14:textId="77777777" w:rsidR="00FE3DA4" w:rsidRPr="00810D36" w:rsidRDefault="00FE3DA4" w:rsidP="00810D36">
      <w:pPr>
        <w:adjustRightInd w:val="0"/>
        <w:snapToGrid w:val="0"/>
        <w:jc w:val="center"/>
        <w:rPr>
          <w:rFonts w:ascii="標楷體" w:eastAsia="標楷體" w:hAnsi="標楷體"/>
          <w:b/>
          <w:sz w:val="28"/>
        </w:rPr>
      </w:pPr>
      <w:bookmarkStart w:id="0" w:name="_Toc186811594"/>
      <w:r w:rsidRPr="00810D36">
        <w:rPr>
          <w:rFonts w:ascii="標楷體" w:eastAsia="標楷體" w:hAnsi="標楷體"/>
          <w:b/>
          <w:sz w:val="28"/>
        </w:rPr>
        <w:t>精進教學品質計畫第一階段審查</w:t>
      </w:r>
      <w:r w:rsidRPr="00810D36">
        <w:rPr>
          <w:rFonts w:ascii="標楷體" w:eastAsia="標楷體" w:hAnsi="標楷體"/>
          <w:b/>
          <w:sz w:val="28"/>
          <w:lang w:eastAsia="zh-HK"/>
        </w:rPr>
        <w:t>修正對照表</w:t>
      </w:r>
      <w:bookmarkEnd w:id="0"/>
    </w:p>
    <w:p w14:paraId="28175C82" w14:textId="4A852DBB" w:rsidR="00FE3DA4" w:rsidRPr="00C50329" w:rsidRDefault="00FE3DA4" w:rsidP="00810D36">
      <w:pPr>
        <w:adjustRightInd w:val="0"/>
        <w:snapToGrid w:val="0"/>
        <w:spacing w:afterLines="50" w:after="180"/>
        <w:rPr>
          <w:rFonts w:ascii="Times New Roman" w:eastAsia="標楷體" w:hAnsi="Times New Roman" w:cs="Times New Roman"/>
          <w:b/>
          <w:sz w:val="28"/>
          <w:szCs w:val="28"/>
        </w:rPr>
      </w:pPr>
      <w:bookmarkStart w:id="1" w:name="_Hlk161299879"/>
      <w:r w:rsidRPr="00C50329">
        <w:rPr>
          <w:rFonts w:ascii="Times New Roman" w:eastAsia="標楷體" w:hAnsi="Times New Roman" w:cs="Times New Roman"/>
          <w:b/>
          <w:sz w:val="28"/>
          <w:szCs w:val="28"/>
        </w:rPr>
        <w:t>縣市別：</w:t>
      </w:r>
      <w:r w:rsidR="00AC7EC9">
        <w:rPr>
          <w:rFonts w:ascii="Times New Roman" w:eastAsia="標楷體" w:hAnsi="Times New Roman" w:cs="Times New Roman" w:hint="eastAsia"/>
          <w:b/>
          <w:sz w:val="28"/>
          <w:szCs w:val="28"/>
        </w:rPr>
        <w:t>花蓮縣</w:t>
      </w:r>
    </w:p>
    <w:p w14:paraId="6AB46DEB" w14:textId="56D2D576" w:rsidR="00FE3DA4" w:rsidRDefault="00FE3DA4" w:rsidP="00FE3DA4">
      <w:pPr>
        <w:ind w:leftChars="-59" w:left="-142"/>
        <w:rPr>
          <w:rFonts w:ascii="Times New Roman" w:eastAsia="標楷體" w:hAnsi="Times New Roman" w:cs="Times New Roman"/>
          <w:b/>
          <w:sz w:val="32"/>
          <w:szCs w:val="32"/>
        </w:rPr>
      </w:pPr>
      <w:r w:rsidRPr="00C50329">
        <w:rPr>
          <w:rFonts w:ascii="Times New Roman" w:eastAsia="標楷體" w:hAnsi="Times New Roman" w:cs="Times New Roman"/>
          <w:b/>
          <w:sz w:val="32"/>
          <w:szCs w:val="32"/>
        </w:rPr>
        <w:t>四、</w:t>
      </w:r>
      <w:r w:rsidRPr="00C50329">
        <w:rPr>
          <w:rFonts w:ascii="Times New Roman" w:eastAsia="標楷體" w:hAnsi="Times New Roman" w:cs="Times New Roman"/>
          <w:b/>
          <w:bCs/>
          <w:kern w:val="0"/>
          <w:sz w:val="32"/>
          <w:szCs w:val="32"/>
        </w:rPr>
        <w:t>地方輔導群</w:t>
      </w:r>
      <w:r w:rsidRPr="00C50329">
        <w:rPr>
          <w:rFonts w:ascii="Times New Roman" w:eastAsia="標楷體" w:hAnsi="Times New Roman" w:cs="Times New Roman" w:hint="eastAsia"/>
          <w:b/>
          <w:bCs/>
          <w:kern w:val="0"/>
          <w:sz w:val="32"/>
          <w:szCs w:val="32"/>
        </w:rPr>
        <w:t>分團</w:t>
      </w:r>
      <w:r w:rsidRPr="00C50329">
        <w:rPr>
          <w:rFonts w:ascii="Times New Roman" w:eastAsia="標楷體" w:hAnsi="Times New Roman" w:cs="Times New Roman"/>
          <w:b/>
          <w:bCs/>
          <w:kern w:val="0"/>
          <w:sz w:val="32"/>
          <w:szCs w:val="32"/>
        </w:rPr>
        <w:t>計畫</w:t>
      </w:r>
      <w:r w:rsidRPr="00C50329">
        <w:rPr>
          <w:rFonts w:ascii="Times New Roman" w:eastAsia="標楷體" w:hAnsi="Times New Roman" w:cs="Times New Roman"/>
          <w:b/>
          <w:sz w:val="32"/>
          <w:szCs w:val="32"/>
        </w:rPr>
        <w:t>修正對照表</w:t>
      </w:r>
    </w:p>
    <w:tbl>
      <w:tblPr>
        <w:tblStyle w:val="a9"/>
        <w:tblpPr w:leftFromText="180" w:rightFromText="180" w:vertAnchor="text" w:horzAnchor="margin" w:tblpY="182"/>
        <w:tblW w:w="961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68"/>
        <w:gridCol w:w="1842"/>
        <w:gridCol w:w="1985"/>
        <w:gridCol w:w="709"/>
        <w:gridCol w:w="1428"/>
        <w:gridCol w:w="1984"/>
      </w:tblGrid>
      <w:tr w:rsidR="00F95660" w:rsidRPr="00C50329" w14:paraId="0AC9F0B3" w14:textId="77777777" w:rsidTr="002A75E8">
        <w:tc>
          <w:tcPr>
            <w:tcW w:w="1668" w:type="dxa"/>
            <w:vAlign w:val="center"/>
          </w:tcPr>
          <w:p w14:paraId="2717AEA1" w14:textId="77777777" w:rsidR="00F95660" w:rsidRPr="00C50329" w:rsidRDefault="00F95660" w:rsidP="002A75E8">
            <w:pPr>
              <w:jc w:val="center"/>
              <w:rPr>
                <w:rFonts w:eastAsia="標楷體"/>
                <w:sz w:val="24"/>
                <w:szCs w:val="24"/>
              </w:rPr>
            </w:pPr>
            <w:r w:rsidRPr="00C50329">
              <w:rPr>
                <w:rFonts w:eastAsia="標楷體"/>
                <w:sz w:val="24"/>
                <w:szCs w:val="24"/>
              </w:rPr>
              <w:t>向度</w:t>
            </w:r>
          </w:p>
        </w:tc>
        <w:tc>
          <w:tcPr>
            <w:tcW w:w="1842" w:type="dxa"/>
            <w:vAlign w:val="center"/>
          </w:tcPr>
          <w:p w14:paraId="52932DB4" w14:textId="77777777" w:rsidR="00F95660" w:rsidRPr="00C50329" w:rsidRDefault="00F95660" w:rsidP="002A75E8">
            <w:pPr>
              <w:jc w:val="center"/>
              <w:rPr>
                <w:rFonts w:eastAsia="標楷體"/>
                <w:sz w:val="24"/>
                <w:szCs w:val="24"/>
              </w:rPr>
            </w:pPr>
            <w:r w:rsidRPr="00C50329">
              <w:rPr>
                <w:rFonts w:eastAsia="標楷體"/>
                <w:sz w:val="24"/>
                <w:szCs w:val="24"/>
                <w:lang w:eastAsia="zh-HK"/>
              </w:rPr>
              <w:t>建議修正內容</w:t>
            </w:r>
          </w:p>
        </w:tc>
        <w:tc>
          <w:tcPr>
            <w:tcW w:w="1985" w:type="dxa"/>
            <w:vAlign w:val="center"/>
          </w:tcPr>
          <w:p w14:paraId="734D3CB6" w14:textId="77777777" w:rsidR="00F95660" w:rsidRPr="00C50329" w:rsidRDefault="00F95660" w:rsidP="002A75E8">
            <w:pPr>
              <w:jc w:val="center"/>
              <w:rPr>
                <w:rFonts w:eastAsia="標楷體"/>
                <w:sz w:val="24"/>
                <w:szCs w:val="24"/>
                <w:lang w:eastAsia="zh-HK"/>
              </w:rPr>
            </w:pPr>
            <w:r w:rsidRPr="00C50329">
              <w:rPr>
                <w:rFonts w:eastAsia="標楷體"/>
                <w:sz w:val="24"/>
                <w:szCs w:val="24"/>
                <w:lang w:eastAsia="zh-HK"/>
              </w:rPr>
              <w:t>修正結果說明</w:t>
            </w:r>
          </w:p>
        </w:tc>
        <w:tc>
          <w:tcPr>
            <w:tcW w:w="709" w:type="dxa"/>
            <w:vAlign w:val="center"/>
          </w:tcPr>
          <w:p w14:paraId="751F08A7" w14:textId="77777777" w:rsidR="00F95660" w:rsidRPr="00C50329" w:rsidRDefault="00F95660" w:rsidP="002A75E8">
            <w:pPr>
              <w:snapToGrid w:val="0"/>
              <w:ind w:leftChars="-48" w:left="-115" w:rightChars="-103" w:right="-247"/>
              <w:rPr>
                <w:rFonts w:eastAsia="標楷體"/>
                <w:sz w:val="24"/>
                <w:szCs w:val="24"/>
              </w:rPr>
            </w:pPr>
            <w:r w:rsidRPr="00C50329">
              <w:rPr>
                <w:rFonts w:eastAsia="標楷體"/>
                <w:sz w:val="24"/>
                <w:szCs w:val="24"/>
                <w:lang w:eastAsia="zh-HK"/>
              </w:rPr>
              <w:t>原頁碼</w:t>
            </w:r>
          </w:p>
        </w:tc>
        <w:tc>
          <w:tcPr>
            <w:tcW w:w="1428" w:type="dxa"/>
            <w:vAlign w:val="center"/>
          </w:tcPr>
          <w:p w14:paraId="429BD64B" w14:textId="77777777" w:rsidR="00F95660" w:rsidRPr="00C50329" w:rsidRDefault="00F95660" w:rsidP="002A75E8">
            <w:pPr>
              <w:ind w:leftChars="-45" w:left="-108" w:rightChars="-45" w:right="-108"/>
              <w:jc w:val="center"/>
              <w:rPr>
                <w:rFonts w:eastAsia="標楷體"/>
                <w:sz w:val="24"/>
                <w:szCs w:val="24"/>
                <w:lang w:eastAsia="zh-HK"/>
              </w:rPr>
            </w:pPr>
            <w:r w:rsidRPr="00C50329">
              <w:rPr>
                <w:rFonts w:eastAsia="標楷體"/>
                <w:sz w:val="24"/>
                <w:szCs w:val="24"/>
                <w:lang w:eastAsia="zh-HK"/>
              </w:rPr>
              <w:t>修正後頁碼</w:t>
            </w:r>
          </w:p>
        </w:tc>
        <w:tc>
          <w:tcPr>
            <w:tcW w:w="1984" w:type="dxa"/>
            <w:vAlign w:val="center"/>
          </w:tcPr>
          <w:p w14:paraId="6F78DD2D" w14:textId="77777777" w:rsidR="00F95660" w:rsidRPr="00C50329" w:rsidRDefault="00F95660" w:rsidP="002A75E8">
            <w:pPr>
              <w:jc w:val="center"/>
              <w:rPr>
                <w:rFonts w:eastAsia="標楷體"/>
                <w:sz w:val="24"/>
                <w:szCs w:val="24"/>
                <w:lang w:eastAsia="zh-HK"/>
              </w:rPr>
            </w:pPr>
            <w:r w:rsidRPr="00C50329">
              <w:rPr>
                <w:rFonts w:eastAsia="標楷體"/>
                <w:sz w:val="24"/>
                <w:szCs w:val="24"/>
                <w:lang w:eastAsia="zh-HK"/>
              </w:rPr>
              <w:t>委員審查意見</w:t>
            </w:r>
          </w:p>
        </w:tc>
      </w:tr>
      <w:tr w:rsidR="00F95660" w:rsidRPr="00C50329" w14:paraId="4448C61A" w14:textId="77777777" w:rsidTr="002A75E8">
        <w:tc>
          <w:tcPr>
            <w:tcW w:w="1668" w:type="dxa"/>
            <w:vAlign w:val="center"/>
          </w:tcPr>
          <w:p w14:paraId="0023C57E" w14:textId="693F21B5" w:rsidR="00F95660" w:rsidRPr="00C50329" w:rsidRDefault="00F95660" w:rsidP="00F95660">
            <w:pPr>
              <w:snapToGrid w:val="0"/>
              <w:jc w:val="both"/>
              <w:rPr>
                <w:rFonts w:eastAsia="標楷體"/>
                <w:sz w:val="24"/>
                <w:szCs w:val="24"/>
              </w:rPr>
            </w:pPr>
            <w:r w:rsidRPr="00C50329">
              <w:rPr>
                <w:rFonts w:eastAsia="標楷體"/>
                <w:sz w:val="24"/>
                <w:szCs w:val="24"/>
              </w:rPr>
              <w:t>1.</w:t>
            </w:r>
            <w:r w:rsidRPr="00C50329">
              <w:rPr>
                <w:rFonts w:eastAsia="標楷體"/>
                <w:sz w:val="24"/>
                <w:szCs w:val="24"/>
              </w:rPr>
              <w:t>組織運作與人員配當</w:t>
            </w:r>
          </w:p>
        </w:tc>
        <w:tc>
          <w:tcPr>
            <w:tcW w:w="1842" w:type="dxa"/>
            <w:vAlign w:val="center"/>
          </w:tcPr>
          <w:p w14:paraId="775C2AAB" w14:textId="678B635D" w:rsidR="00F95660" w:rsidRPr="004A19F5" w:rsidRDefault="005D4823" w:rsidP="00F95660">
            <w:pPr>
              <w:jc w:val="both"/>
              <w:rPr>
                <w:rFonts w:eastAsia="標楷體"/>
              </w:rPr>
            </w:pPr>
            <w:r w:rsidRPr="004A19F5">
              <w:rPr>
                <w:rFonts w:eastAsia="標楷體" w:hint="eastAsia"/>
              </w:rPr>
              <w:t>P.1</w:t>
            </w:r>
            <w:r w:rsidRPr="004A19F5">
              <w:rPr>
                <w:rFonts w:eastAsia="標楷體" w:hint="eastAsia"/>
              </w:rPr>
              <w:t>一、</w:t>
            </w:r>
            <w:r w:rsidRPr="004A19F5">
              <w:rPr>
                <w:rFonts w:eastAsia="標楷體" w:hint="eastAsia"/>
              </w:rPr>
              <w:t xml:space="preserve"> </w:t>
            </w:r>
            <w:r w:rsidRPr="004A19F5">
              <w:rPr>
                <w:rFonts w:eastAsia="標楷體" w:hint="eastAsia"/>
              </w:rPr>
              <w:t>組織架構中的課發中心主任、總幹事、副總幹事和課發中心執秘的「位階」與「架構」建議重新區分。</w:t>
            </w:r>
          </w:p>
        </w:tc>
        <w:tc>
          <w:tcPr>
            <w:tcW w:w="1985" w:type="dxa"/>
            <w:vAlign w:val="center"/>
          </w:tcPr>
          <w:p w14:paraId="25DDCF4C" w14:textId="0799AAE8" w:rsidR="00F95660" w:rsidRPr="00C50329" w:rsidRDefault="004C3A01" w:rsidP="00F95660">
            <w:pPr>
              <w:jc w:val="both"/>
              <w:rPr>
                <w:rFonts w:eastAsia="標楷體"/>
                <w:sz w:val="24"/>
                <w:szCs w:val="24"/>
              </w:rPr>
            </w:pPr>
            <w:r w:rsidRPr="004C3A01">
              <w:rPr>
                <w:rFonts w:eastAsia="標楷體" w:hint="eastAsia"/>
                <w:sz w:val="22"/>
                <w:szCs w:val="22"/>
              </w:rPr>
              <w:t>依地方輔導群團組織架構重新敘寫。</w:t>
            </w:r>
          </w:p>
        </w:tc>
        <w:tc>
          <w:tcPr>
            <w:tcW w:w="709" w:type="dxa"/>
            <w:vAlign w:val="center"/>
          </w:tcPr>
          <w:p w14:paraId="49664B22" w14:textId="5B843529" w:rsidR="00F95660" w:rsidRPr="00C50329" w:rsidRDefault="004C3A01" w:rsidP="004C3A01">
            <w:pPr>
              <w:jc w:val="center"/>
              <w:rPr>
                <w:rFonts w:eastAsia="標楷體"/>
                <w:sz w:val="24"/>
                <w:szCs w:val="24"/>
              </w:rPr>
            </w:pPr>
            <w:r>
              <w:rPr>
                <w:rFonts w:eastAsia="標楷體" w:hint="eastAsia"/>
                <w:sz w:val="24"/>
                <w:szCs w:val="24"/>
              </w:rPr>
              <w:t>P1</w:t>
            </w:r>
          </w:p>
        </w:tc>
        <w:tc>
          <w:tcPr>
            <w:tcW w:w="1428" w:type="dxa"/>
            <w:vAlign w:val="center"/>
          </w:tcPr>
          <w:p w14:paraId="745D3DDA" w14:textId="79F83BC2" w:rsidR="00F95660" w:rsidRPr="00C50329" w:rsidRDefault="004C3A01" w:rsidP="004C3A01">
            <w:pPr>
              <w:jc w:val="center"/>
              <w:rPr>
                <w:rFonts w:eastAsia="標楷體"/>
                <w:sz w:val="24"/>
                <w:szCs w:val="24"/>
              </w:rPr>
            </w:pPr>
            <w:r>
              <w:rPr>
                <w:rFonts w:eastAsia="標楷體" w:hint="eastAsia"/>
                <w:sz w:val="24"/>
                <w:szCs w:val="24"/>
              </w:rPr>
              <w:t>P1</w:t>
            </w:r>
          </w:p>
        </w:tc>
        <w:tc>
          <w:tcPr>
            <w:tcW w:w="1984" w:type="dxa"/>
          </w:tcPr>
          <w:p w14:paraId="381AC09E" w14:textId="77777777" w:rsidR="00F95660" w:rsidRPr="00C50329" w:rsidRDefault="00F95660" w:rsidP="00F95660">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rPr>
              <w:t>通過</w:t>
            </w:r>
          </w:p>
          <w:p w14:paraId="755C40F1" w14:textId="77777777" w:rsidR="00F95660" w:rsidRPr="00C50329" w:rsidRDefault="00F95660" w:rsidP="00F95660">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lang w:eastAsia="zh-HK"/>
              </w:rPr>
              <w:t>未</w:t>
            </w:r>
            <w:r w:rsidRPr="00C50329">
              <w:rPr>
                <w:rFonts w:eastAsia="標楷體"/>
                <w:sz w:val="24"/>
                <w:szCs w:val="24"/>
              </w:rPr>
              <w:t>通過</w:t>
            </w:r>
          </w:p>
          <w:p w14:paraId="6F344BB1" w14:textId="77777777" w:rsidR="00F95660" w:rsidRPr="00C50329" w:rsidRDefault="00F95660" w:rsidP="00F95660">
            <w:pPr>
              <w:jc w:val="both"/>
              <w:rPr>
                <w:rFonts w:eastAsia="標楷體"/>
                <w:sz w:val="24"/>
                <w:szCs w:val="24"/>
                <w:u w:val="single"/>
              </w:rPr>
            </w:pPr>
            <w:r w:rsidRPr="00C50329">
              <w:rPr>
                <w:rFonts w:eastAsia="標楷體"/>
                <w:sz w:val="24"/>
                <w:szCs w:val="24"/>
                <w:lang w:eastAsia="zh-HK"/>
              </w:rPr>
              <w:t>說明：</w:t>
            </w:r>
            <w:r w:rsidRPr="00C50329">
              <w:rPr>
                <w:rFonts w:eastAsia="標楷體"/>
                <w:sz w:val="24"/>
                <w:szCs w:val="24"/>
                <w:u w:val="single"/>
              </w:rPr>
              <w:t xml:space="preserve">    </w:t>
            </w:r>
          </w:p>
        </w:tc>
      </w:tr>
      <w:tr w:rsidR="00F95660" w:rsidRPr="00C50329" w14:paraId="10DDA8EB" w14:textId="77777777" w:rsidTr="002A75E8">
        <w:tc>
          <w:tcPr>
            <w:tcW w:w="1668" w:type="dxa"/>
            <w:vAlign w:val="center"/>
          </w:tcPr>
          <w:p w14:paraId="36E4B694" w14:textId="49E81934" w:rsidR="00F95660" w:rsidRPr="00C50329" w:rsidRDefault="00F95660" w:rsidP="00F95660">
            <w:pPr>
              <w:snapToGrid w:val="0"/>
              <w:jc w:val="both"/>
              <w:rPr>
                <w:rFonts w:eastAsia="標楷體"/>
                <w:sz w:val="24"/>
                <w:szCs w:val="24"/>
              </w:rPr>
            </w:pPr>
            <w:r w:rsidRPr="00C50329">
              <w:rPr>
                <w:rFonts w:eastAsia="標楷體"/>
                <w:sz w:val="24"/>
                <w:szCs w:val="24"/>
              </w:rPr>
              <w:t>2.</w:t>
            </w:r>
            <w:r w:rsidRPr="00C50329">
              <w:rPr>
                <w:rFonts w:eastAsia="標楷體"/>
                <w:sz w:val="24"/>
                <w:szCs w:val="24"/>
              </w:rPr>
              <w:t>政策協作與轉化</w:t>
            </w:r>
            <w:r w:rsidRPr="00C50329">
              <w:rPr>
                <w:rFonts w:eastAsia="標楷體" w:hint="eastAsia"/>
                <w:sz w:val="24"/>
                <w:szCs w:val="24"/>
              </w:rPr>
              <w:t xml:space="preserve"> </w:t>
            </w:r>
          </w:p>
        </w:tc>
        <w:tc>
          <w:tcPr>
            <w:tcW w:w="1842" w:type="dxa"/>
            <w:vAlign w:val="center"/>
          </w:tcPr>
          <w:p w14:paraId="7F3D0B27" w14:textId="78C77252" w:rsidR="00F95660" w:rsidRPr="00834FC3" w:rsidRDefault="00F95660" w:rsidP="00F95660">
            <w:pPr>
              <w:jc w:val="both"/>
              <w:rPr>
                <w:rFonts w:eastAsia="標楷體"/>
              </w:rPr>
            </w:pPr>
          </w:p>
        </w:tc>
        <w:tc>
          <w:tcPr>
            <w:tcW w:w="1985" w:type="dxa"/>
            <w:vAlign w:val="center"/>
          </w:tcPr>
          <w:p w14:paraId="63E1CAA1" w14:textId="1679AA41" w:rsidR="00F95660" w:rsidRPr="00C50329" w:rsidRDefault="00F95660" w:rsidP="00F95660">
            <w:pPr>
              <w:jc w:val="both"/>
              <w:rPr>
                <w:rFonts w:eastAsia="標楷體"/>
                <w:sz w:val="24"/>
                <w:szCs w:val="24"/>
              </w:rPr>
            </w:pPr>
          </w:p>
        </w:tc>
        <w:tc>
          <w:tcPr>
            <w:tcW w:w="709" w:type="dxa"/>
            <w:vAlign w:val="center"/>
          </w:tcPr>
          <w:p w14:paraId="68277F3E" w14:textId="77777777" w:rsidR="00F95660" w:rsidRPr="00C50329" w:rsidRDefault="00F95660" w:rsidP="00F95660">
            <w:pPr>
              <w:jc w:val="both"/>
              <w:rPr>
                <w:rFonts w:eastAsia="標楷體"/>
                <w:sz w:val="24"/>
                <w:szCs w:val="24"/>
              </w:rPr>
            </w:pPr>
          </w:p>
        </w:tc>
        <w:tc>
          <w:tcPr>
            <w:tcW w:w="1428" w:type="dxa"/>
            <w:vAlign w:val="center"/>
          </w:tcPr>
          <w:p w14:paraId="4E4957EC" w14:textId="77777777" w:rsidR="00F95660" w:rsidRPr="00C50329" w:rsidRDefault="00F95660" w:rsidP="00F95660">
            <w:pPr>
              <w:jc w:val="both"/>
              <w:rPr>
                <w:rFonts w:eastAsia="標楷體"/>
                <w:sz w:val="24"/>
                <w:szCs w:val="24"/>
              </w:rPr>
            </w:pPr>
          </w:p>
        </w:tc>
        <w:tc>
          <w:tcPr>
            <w:tcW w:w="1984" w:type="dxa"/>
          </w:tcPr>
          <w:p w14:paraId="6EBECFE0" w14:textId="77777777" w:rsidR="00F95660" w:rsidRPr="00C50329" w:rsidRDefault="00F95660" w:rsidP="00F95660">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rPr>
              <w:t>通過</w:t>
            </w:r>
          </w:p>
          <w:p w14:paraId="2939A7BB" w14:textId="77777777" w:rsidR="00F95660" w:rsidRPr="00C50329" w:rsidRDefault="00F95660" w:rsidP="00F95660">
            <w:pPr>
              <w:jc w:val="both"/>
              <w:rPr>
                <w:rFonts w:eastAsia="標楷體"/>
                <w:sz w:val="24"/>
                <w:szCs w:val="24"/>
              </w:rPr>
            </w:pPr>
            <w:r w:rsidRPr="00C50329">
              <w:rPr>
                <w:rFonts w:eastAsia="標楷體"/>
                <w:sz w:val="24"/>
                <w:szCs w:val="24"/>
              </w:rPr>
              <w:sym w:font="Wingdings" w:char="F06F"/>
            </w:r>
            <w:r w:rsidRPr="00C50329">
              <w:rPr>
                <w:rFonts w:eastAsia="標楷體"/>
                <w:sz w:val="24"/>
                <w:szCs w:val="24"/>
                <w:lang w:eastAsia="zh-HK"/>
              </w:rPr>
              <w:t>未</w:t>
            </w:r>
            <w:r w:rsidRPr="00C50329">
              <w:rPr>
                <w:rFonts w:eastAsia="標楷體"/>
                <w:sz w:val="24"/>
                <w:szCs w:val="24"/>
              </w:rPr>
              <w:t>通過</w:t>
            </w:r>
          </w:p>
          <w:p w14:paraId="23E48561" w14:textId="77777777" w:rsidR="00F95660" w:rsidRPr="00C50329" w:rsidRDefault="00F95660" w:rsidP="00F95660">
            <w:pPr>
              <w:jc w:val="both"/>
              <w:rPr>
                <w:rFonts w:eastAsia="標楷體"/>
                <w:sz w:val="24"/>
                <w:szCs w:val="24"/>
              </w:rPr>
            </w:pPr>
            <w:r w:rsidRPr="00C50329">
              <w:rPr>
                <w:rFonts w:eastAsia="標楷體"/>
                <w:sz w:val="24"/>
                <w:szCs w:val="24"/>
                <w:lang w:eastAsia="zh-HK"/>
              </w:rPr>
              <w:t>說明：</w:t>
            </w:r>
            <w:r w:rsidRPr="00C50329">
              <w:rPr>
                <w:rFonts w:eastAsia="標楷體"/>
                <w:sz w:val="24"/>
                <w:szCs w:val="24"/>
                <w:u w:val="single"/>
              </w:rPr>
              <w:t xml:space="preserve">    </w:t>
            </w:r>
          </w:p>
        </w:tc>
      </w:tr>
      <w:tr w:rsidR="00F95660" w:rsidRPr="00C50329" w14:paraId="6E391F9A" w14:textId="77777777" w:rsidTr="002A75E8">
        <w:tc>
          <w:tcPr>
            <w:tcW w:w="1668" w:type="dxa"/>
            <w:vAlign w:val="center"/>
          </w:tcPr>
          <w:p w14:paraId="22A5E836" w14:textId="093E3D4B" w:rsidR="00F95660" w:rsidRPr="00C50329" w:rsidRDefault="00F95660" w:rsidP="00F95660">
            <w:pPr>
              <w:adjustRightInd w:val="0"/>
              <w:snapToGrid w:val="0"/>
              <w:jc w:val="both"/>
              <w:rPr>
                <w:rFonts w:eastAsia="標楷體"/>
                <w:sz w:val="24"/>
                <w:szCs w:val="24"/>
              </w:rPr>
            </w:pPr>
            <w:r w:rsidRPr="00C50329">
              <w:rPr>
                <w:rFonts w:eastAsia="標楷體"/>
                <w:sz w:val="24"/>
                <w:szCs w:val="24"/>
              </w:rPr>
              <w:t>3</w:t>
            </w:r>
            <w:r w:rsidRPr="00C50329">
              <w:rPr>
                <w:rFonts w:eastAsia="標楷體" w:hint="eastAsia"/>
                <w:sz w:val="24"/>
                <w:szCs w:val="24"/>
              </w:rPr>
              <w:t>.</w:t>
            </w:r>
            <w:r w:rsidRPr="00C50329">
              <w:rPr>
                <w:rFonts w:eastAsia="標楷體"/>
                <w:sz w:val="24"/>
                <w:szCs w:val="24"/>
              </w:rPr>
              <w:t>專業發展與教學實踐</w:t>
            </w:r>
            <w:r w:rsidRPr="00C50329">
              <w:rPr>
                <w:rFonts w:eastAsia="標楷體" w:hint="eastAsia"/>
                <w:sz w:val="24"/>
                <w:szCs w:val="24"/>
              </w:rPr>
              <w:t xml:space="preserve"> </w:t>
            </w:r>
          </w:p>
        </w:tc>
        <w:tc>
          <w:tcPr>
            <w:tcW w:w="1842" w:type="dxa"/>
            <w:vAlign w:val="center"/>
          </w:tcPr>
          <w:p w14:paraId="51CA12DE" w14:textId="09E19466" w:rsidR="00F95660" w:rsidRPr="004A19F5" w:rsidRDefault="005D4823" w:rsidP="00F95660">
            <w:pPr>
              <w:jc w:val="both"/>
              <w:rPr>
                <w:rFonts w:eastAsia="標楷體"/>
              </w:rPr>
            </w:pPr>
            <w:r w:rsidRPr="004A19F5">
              <w:rPr>
                <w:rFonts w:eastAsia="標楷體" w:hint="eastAsia"/>
              </w:rPr>
              <w:t>成效評估之實施建議調整至少一項計畫為深化成效評估方式，透過推動深化成效評估引導課堂實踐，並提升教師能力，以漸進方式導入深化成效評估，分析參與者教師或學生的反應及學習狀況，以提升教師教學成效及學生學習成效，將專業成長實踐於課堂教學。</w:t>
            </w:r>
          </w:p>
        </w:tc>
        <w:tc>
          <w:tcPr>
            <w:tcW w:w="1985" w:type="dxa"/>
            <w:vAlign w:val="center"/>
          </w:tcPr>
          <w:p w14:paraId="5042B1C7" w14:textId="32D41E71" w:rsidR="00F95660" w:rsidRPr="004C1EE0" w:rsidRDefault="00A93CCF" w:rsidP="00F95660">
            <w:pPr>
              <w:jc w:val="both"/>
              <w:rPr>
                <w:rFonts w:eastAsia="標楷體"/>
              </w:rPr>
            </w:pPr>
            <w:r w:rsidRPr="004C1EE0">
              <w:rPr>
                <w:rFonts w:eastAsia="標楷體" w:hint="eastAsia"/>
              </w:rPr>
              <w:t>以</w:t>
            </w:r>
            <w:r w:rsidRPr="004C3A01">
              <w:rPr>
                <w:rFonts w:eastAsia="標楷體" w:hint="eastAsia"/>
                <w:b/>
                <w:bCs/>
              </w:rPr>
              <w:t>學校教師學習社群召集人增能研習實施計畫</w:t>
            </w:r>
            <w:r w:rsidRPr="004C1EE0">
              <w:rPr>
                <w:rFonts w:eastAsia="標楷體" w:hint="eastAsia"/>
              </w:rPr>
              <w:t>做為深化成效評估計畫，</w:t>
            </w:r>
            <w:r w:rsidR="004C1EE0" w:rsidRPr="004C1EE0">
              <w:rPr>
                <w:rFonts w:eastAsia="標楷體" w:hint="eastAsia"/>
              </w:rPr>
              <w:t>輔導學校以學習社群模式進行教學研究會，藉由各校學習社群的運作，將教師增能研習的場域回歸至其教學現場之中，不僅切合教師的教學環境，回應學校端的教師研習需求，讓老師藉由同儕打開教室，了解自己教學需要精進的地方。並提升課程與教學領導者課程實踐核心專業能力，期透過講座、分享討論等方式使本縣課程與教學領導者具備課程與教學領導的專業知</w:t>
            </w:r>
            <w:r w:rsidR="004C1EE0" w:rsidRPr="004C1EE0">
              <w:rPr>
                <w:rFonts w:eastAsia="標楷體" w:hint="eastAsia"/>
              </w:rPr>
              <w:lastRenderedPageBreak/>
              <w:t>識。後續可邀請績優學校經驗分享。</w:t>
            </w:r>
          </w:p>
        </w:tc>
        <w:tc>
          <w:tcPr>
            <w:tcW w:w="709" w:type="dxa"/>
            <w:vAlign w:val="center"/>
          </w:tcPr>
          <w:p w14:paraId="29AB050C" w14:textId="77777777" w:rsidR="00F95660" w:rsidRPr="00C50329" w:rsidRDefault="00F95660" w:rsidP="00F95660">
            <w:pPr>
              <w:jc w:val="both"/>
              <w:rPr>
                <w:rFonts w:eastAsia="標楷體"/>
                <w:sz w:val="24"/>
                <w:szCs w:val="24"/>
              </w:rPr>
            </w:pPr>
          </w:p>
        </w:tc>
        <w:tc>
          <w:tcPr>
            <w:tcW w:w="1428" w:type="dxa"/>
            <w:vAlign w:val="center"/>
          </w:tcPr>
          <w:p w14:paraId="20ED6A76" w14:textId="77777777" w:rsidR="00F95660" w:rsidRPr="00C50329" w:rsidRDefault="00F95660" w:rsidP="00F95660">
            <w:pPr>
              <w:jc w:val="both"/>
              <w:rPr>
                <w:rFonts w:eastAsia="標楷體"/>
                <w:sz w:val="24"/>
                <w:szCs w:val="24"/>
              </w:rPr>
            </w:pPr>
          </w:p>
        </w:tc>
        <w:tc>
          <w:tcPr>
            <w:tcW w:w="1984" w:type="dxa"/>
          </w:tcPr>
          <w:p w14:paraId="4F1A072F" w14:textId="77777777" w:rsidR="00F95660" w:rsidRPr="00C50329" w:rsidRDefault="00F95660" w:rsidP="00F95660">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rPr>
              <w:t>通過</w:t>
            </w:r>
          </w:p>
          <w:p w14:paraId="34927981" w14:textId="77777777" w:rsidR="00F95660" w:rsidRPr="00C50329" w:rsidRDefault="00F95660" w:rsidP="00F95660">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lang w:eastAsia="zh-HK"/>
              </w:rPr>
              <w:t>未</w:t>
            </w:r>
            <w:r w:rsidRPr="00C50329">
              <w:rPr>
                <w:rFonts w:eastAsia="標楷體"/>
                <w:sz w:val="24"/>
                <w:szCs w:val="24"/>
              </w:rPr>
              <w:t>通過</w:t>
            </w:r>
          </w:p>
          <w:p w14:paraId="724C2520" w14:textId="77777777" w:rsidR="00F95660" w:rsidRPr="00C50329" w:rsidRDefault="00F95660" w:rsidP="00F95660">
            <w:pPr>
              <w:jc w:val="both"/>
              <w:rPr>
                <w:rFonts w:eastAsia="標楷體"/>
                <w:sz w:val="24"/>
                <w:szCs w:val="24"/>
              </w:rPr>
            </w:pPr>
            <w:r w:rsidRPr="00C50329">
              <w:rPr>
                <w:rFonts w:eastAsia="標楷體"/>
                <w:sz w:val="24"/>
                <w:szCs w:val="24"/>
                <w:lang w:eastAsia="zh-HK"/>
              </w:rPr>
              <w:t>說明：</w:t>
            </w:r>
            <w:r w:rsidRPr="00C50329">
              <w:rPr>
                <w:rFonts w:eastAsia="標楷體"/>
                <w:sz w:val="24"/>
                <w:szCs w:val="24"/>
                <w:u w:val="single"/>
              </w:rPr>
              <w:t xml:space="preserve">    </w:t>
            </w:r>
          </w:p>
        </w:tc>
      </w:tr>
      <w:tr w:rsidR="00F95660" w:rsidRPr="00C50329" w14:paraId="14B993AC" w14:textId="77777777" w:rsidTr="00F95660">
        <w:trPr>
          <w:trHeight w:val="1285"/>
        </w:trPr>
        <w:tc>
          <w:tcPr>
            <w:tcW w:w="1668" w:type="dxa"/>
            <w:vAlign w:val="center"/>
          </w:tcPr>
          <w:p w14:paraId="207E5534" w14:textId="377E8A19" w:rsidR="00F95660" w:rsidRPr="00C50329" w:rsidRDefault="00F95660" w:rsidP="00F95660">
            <w:pPr>
              <w:adjustRightInd w:val="0"/>
              <w:snapToGrid w:val="0"/>
              <w:jc w:val="both"/>
              <w:rPr>
                <w:rFonts w:eastAsia="標楷體"/>
                <w:sz w:val="24"/>
                <w:szCs w:val="24"/>
              </w:rPr>
            </w:pPr>
            <w:r w:rsidRPr="00C50329">
              <w:rPr>
                <w:rFonts w:eastAsia="標楷體"/>
                <w:sz w:val="24"/>
                <w:szCs w:val="24"/>
              </w:rPr>
              <w:t>4</w:t>
            </w:r>
            <w:r w:rsidRPr="00C50329">
              <w:rPr>
                <w:rFonts w:eastAsia="標楷體" w:hint="eastAsia"/>
                <w:sz w:val="24"/>
                <w:szCs w:val="24"/>
              </w:rPr>
              <w:t>.</w:t>
            </w:r>
            <w:r w:rsidRPr="00C50329">
              <w:rPr>
                <w:rFonts w:eastAsia="標楷體"/>
                <w:sz w:val="24"/>
                <w:szCs w:val="24"/>
                <w:lang w:eastAsia="zh-HK"/>
              </w:rPr>
              <w:t>經費編列</w:t>
            </w:r>
          </w:p>
        </w:tc>
        <w:tc>
          <w:tcPr>
            <w:tcW w:w="1842" w:type="dxa"/>
            <w:vAlign w:val="center"/>
          </w:tcPr>
          <w:p w14:paraId="35EE6BE5" w14:textId="57A98ED8" w:rsidR="005D4823" w:rsidRPr="004A19F5" w:rsidRDefault="005D4823" w:rsidP="005D4823">
            <w:pPr>
              <w:jc w:val="both"/>
              <w:rPr>
                <w:rFonts w:eastAsia="標楷體"/>
              </w:rPr>
            </w:pPr>
            <w:r w:rsidRPr="004A19F5">
              <w:rPr>
                <w:rFonts w:eastAsia="標楷體" w:hint="eastAsia"/>
              </w:rPr>
              <w:t>P.18</w:t>
            </w:r>
            <w:r w:rsidRPr="004A19F5">
              <w:rPr>
                <w:rFonts w:eastAsia="標楷體" w:hint="eastAsia"/>
              </w:rPr>
              <w:t>地方輔導夥伴團隊專業培訓增能研習實施計畫中柒、經費概算之外聘講座鐘點費數量編列為</w:t>
            </w:r>
            <w:r w:rsidRPr="004A19F5">
              <w:rPr>
                <w:rFonts w:eastAsia="標楷體" w:hint="eastAsia"/>
              </w:rPr>
              <w:t>13</w:t>
            </w:r>
            <w:r w:rsidRPr="004A19F5">
              <w:rPr>
                <w:rFonts w:eastAsia="標楷體" w:hint="eastAsia"/>
              </w:rPr>
              <w:t>，與二、研習時程規劃中二位講師的數量不相符。</w:t>
            </w:r>
            <w:r w:rsidRPr="004A19F5">
              <w:rPr>
                <w:rFonts w:eastAsia="標楷體" w:hint="eastAsia"/>
              </w:rPr>
              <w:t xml:space="preserve"> </w:t>
            </w:r>
          </w:p>
          <w:p w14:paraId="16AE0ED4" w14:textId="7B3AB323" w:rsidR="005D4823" w:rsidRPr="004A19F5" w:rsidRDefault="005D4823" w:rsidP="005D4823">
            <w:pPr>
              <w:jc w:val="both"/>
              <w:rPr>
                <w:rFonts w:eastAsia="標楷體"/>
              </w:rPr>
            </w:pPr>
            <w:r w:rsidRPr="004A19F5">
              <w:rPr>
                <w:rFonts w:eastAsia="標楷體" w:hint="eastAsia"/>
              </w:rPr>
              <w:t>P.24</w:t>
            </w:r>
            <w:r w:rsidRPr="004A19F5">
              <w:rPr>
                <w:rFonts w:eastAsia="標楷體" w:hint="eastAsia"/>
              </w:rPr>
              <w:t>初任教師回流增能研習實施計畫中柒、經費概算內聘講座鐘點費和內聘助理講師鐘點費，其計算方式請於說明欄位中加以說明。</w:t>
            </w:r>
          </w:p>
          <w:p w14:paraId="299761EA" w14:textId="17B816B7" w:rsidR="00F95660" w:rsidRPr="004A19F5" w:rsidRDefault="005D4823" w:rsidP="005D4823">
            <w:pPr>
              <w:jc w:val="both"/>
              <w:rPr>
                <w:rFonts w:eastAsia="標楷體"/>
              </w:rPr>
            </w:pPr>
            <w:r w:rsidRPr="004A19F5">
              <w:rPr>
                <w:rFonts w:eastAsia="標楷體" w:hint="eastAsia"/>
              </w:rPr>
              <w:t>P.</w:t>
            </w:r>
            <w:r w:rsidR="00834FC3">
              <w:rPr>
                <w:rFonts w:eastAsia="標楷體" w:hint="eastAsia"/>
              </w:rPr>
              <w:t>40</w:t>
            </w:r>
            <w:r w:rsidRPr="004A19F5">
              <w:rPr>
                <w:rFonts w:eastAsia="標楷體" w:hint="eastAsia"/>
              </w:rPr>
              <w:t>進階專業回饋人才認證培訓及實務探討實體研習和</w:t>
            </w:r>
            <w:r w:rsidRPr="004A19F5">
              <w:rPr>
                <w:rFonts w:eastAsia="標楷體" w:hint="eastAsia"/>
              </w:rPr>
              <w:t>P.44</w:t>
            </w:r>
            <w:r w:rsidRPr="004A19F5">
              <w:rPr>
                <w:rFonts w:eastAsia="標楷體" w:hint="eastAsia"/>
              </w:rPr>
              <w:t>教學輔導教師人才認證培訓及實務探討實體研習中的捌、課程表之類別為實體研習和實務探討（回流）研習，但於主講人處標為策略聯盟承辦縣市負責線上研習，建議加以調整或修正。</w:t>
            </w:r>
          </w:p>
        </w:tc>
        <w:tc>
          <w:tcPr>
            <w:tcW w:w="1985" w:type="dxa"/>
            <w:vAlign w:val="center"/>
          </w:tcPr>
          <w:p w14:paraId="25033799" w14:textId="536E574A" w:rsidR="00834FC3" w:rsidRPr="00834FC3" w:rsidRDefault="00834FC3" w:rsidP="00F95660">
            <w:pPr>
              <w:jc w:val="both"/>
              <w:rPr>
                <w:rFonts w:eastAsia="標楷體"/>
              </w:rPr>
            </w:pPr>
            <w:r w:rsidRPr="00834FC3">
              <w:rPr>
                <w:rFonts w:eastAsia="標楷體" w:hint="eastAsia"/>
              </w:rPr>
              <w:t>已依修正建議調整經費編列及說明。</w:t>
            </w:r>
          </w:p>
          <w:p w14:paraId="5374C6C1" w14:textId="41F9BE38" w:rsidR="00F95660" w:rsidRPr="00834FC3" w:rsidRDefault="00F95660" w:rsidP="00F95660">
            <w:pPr>
              <w:jc w:val="both"/>
              <w:rPr>
                <w:rFonts w:eastAsia="標楷體"/>
              </w:rPr>
            </w:pPr>
            <w:r w:rsidRPr="00834FC3">
              <w:rPr>
                <w:rFonts w:eastAsia="標楷體"/>
              </w:rPr>
              <w:t>預計完成學年度：</w:t>
            </w:r>
            <w:r w:rsidRPr="00834FC3">
              <w:rPr>
                <w:rFonts w:eastAsia="標楷體"/>
              </w:rPr>
              <w:t>__</w:t>
            </w:r>
            <w:r w:rsidR="00834FC3" w:rsidRPr="00834FC3">
              <w:rPr>
                <w:rFonts w:eastAsia="標楷體" w:hint="eastAsia"/>
              </w:rPr>
              <w:t>114</w:t>
            </w:r>
            <w:r w:rsidRPr="00834FC3">
              <w:rPr>
                <w:rFonts w:eastAsia="標楷體"/>
              </w:rPr>
              <w:t>_</w:t>
            </w:r>
            <w:r w:rsidRPr="00834FC3">
              <w:rPr>
                <w:rFonts w:eastAsia="標楷體"/>
              </w:rPr>
              <w:t>。</w:t>
            </w:r>
          </w:p>
          <w:p w14:paraId="2F94266D" w14:textId="2F7E2236" w:rsidR="00834FC3" w:rsidRPr="00C50329" w:rsidRDefault="00834FC3" w:rsidP="00F95660">
            <w:pPr>
              <w:jc w:val="both"/>
              <w:rPr>
                <w:rFonts w:eastAsia="標楷體"/>
                <w:sz w:val="24"/>
                <w:szCs w:val="24"/>
              </w:rPr>
            </w:pPr>
          </w:p>
        </w:tc>
        <w:tc>
          <w:tcPr>
            <w:tcW w:w="709" w:type="dxa"/>
            <w:vAlign w:val="center"/>
          </w:tcPr>
          <w:p w14:paraId="6192E3F6" w14:textId="77777777" w:rsidR="00F95660" w:rsidRPr="00C50329" w:rsidRDefault="00F95660" w:rsidP="00F95660">
            <w:pPr>
              <w:jc w:val="both"/>
              <w:rPr>
                <w:rFonts w:eastAsia="標楷體"/>
                <w:sz w:val="24"/>
                <w:szCs w:val="24"/>
              </w:rPr>
            </w:pPr>
          </w:p>
        </w:tc>
        <w:tc>
          <w:tcPr>
            <w:tcW w:w="1428" w:type="dxa"/>
            <w:tcBorders>
              <w:tr2bl w:val="single" w:sz="4" w:space="0" w:color="auto"/>
            </w:tcBorders>
            <w:vAlign w:val="center"/>
          </w:tcPr>
          <w:p w14:paraId="5B402F54" w14:textId="77777777" w:rsidR="00F95660" w:rsidRPr="00C50329" w:rsidRDefault="00F95660" w:rsidP="00F95660">
            <w:pPr>
              <w:jc w:val="both"/>
              <w:rPr>
                <w:rFonts w:eastAsia="標楷體"/>
                <w:sz w:val="24"/>
                <w:szCs w:val="24"/>
              </w:rPr>
            </w:pPr>
          </w:p>
        </w:tc>
        <w:tc>
          <w:tcPr>
            <w:tcW w:w="1984" w:type="dxa"/>
          </w:tcPr>
          <w:p w14:paraId="486496FC" w14:textId="77777777" w:rsidR="00F95660" w:rsidRPr="00C50329" w:rsidRDefault="00F95660" w:rsidP="00F95660">
            <w:pPr>
              <w:jc w:val="both"/>
              <w:rPr>
                <w:rFonts w:eastAsia="標楷體"/>
                <w:spacing w:val="-20"/>
                <w:sz w:val="24"/>
                <w:szCs w:val="24"/>
                <w:lang w:eastAsia="zh-HK"/>
              </w:rPr>
            </w:pPr>
            <w:r w:rsidRPr="00C50329">
              <w:rPr>
                <w:rFonts w:eastAsia="標楷體"/>
                <w:spacing w:val="-20"/>
                <w:sz w:val="24"/>
                <w:szCs w:val="24"/>
              </w:rPr>
              <w:sym w:font="Wingdings" w:char="F06F"/>
            </w:r>
            <w:r w:rsidRPr="00C50329">
              <w:rPr>
                <w:rFonts w:eastAsia="標楷體"/>
                <w:spacing w:val="-20"/>
                <w:sz w:val="24"/>
                <w:szCs w:val="24"/>
              </w:rPr>
              <w:t>通過</w:t>
            </w:r>
          </w:p>
          <w:p w14:paraId="560129D9" w14:textId="77777777" w:rsidR="00F95660" w:rsidRPr="00C50329" w:rsidRDefault="00F95660" w:rsidP="00F95660">
            <w:pPr>
              <w:jc w:val="both"/>
              <w:rPr>
                <w:rFonts w:eastAsia="標楷體"/>
                <w:spacing w:val="-20"/>
                <w:sz w:val="24"/>
                <w:szCs w:val="24"/>
                <w:lang w:eastAsia="zh-HK"/>
              </w:rPr>
            </w:pPr>
            <w:r w:rsidRPr="00C50329">
              <w:rPr>
                <w:rFonts w:eastAsia="標楷體"/>
                <w:spacing w:val="-20"/>
                <w:sz w:val="24"/>
                <w:szCs w:val="24"/>
              </w:rPr>
              <w:sym w:font="Wingdings" w:char="F06F"/>
            </w:r>
            <w:r w:rsidRPr="00C50329">
              <w:rPr>
                <w:rFonts w:eastAsia="標楷體"/>
                <w:spacing w:val="-20"/>
                <w:sz w:val="24"/>
                <w:szCs w:val="24"/>
                <w:lang w:eastAsia="zh-HK"/>
              </w:rPr>
              <w:t>未</w:t>
            </w:r>
            <w:r w:rsidRPr="00C50329">
              <w:rPr>
                <w:rFonts w:eastAsia="標楷體"/>
                <w:spacing w:val="-20"/>
                <w:sz w:val="24"/>
                <w:szCs w:val="24"/>
              </w:rPr>
              <w:t>通過</w:t>
            </w:r>
          </w:p>
          <w:p w14:paraId="05AF3DAE" w14:textId="77777777" w:rsidR="00F95660" w:rsidRPr="00C50329" w:rsidRDefault="00F95660" w:rsidP="00F95660">
            <w:pPr>
              <w:jc w:val="both"/>
              <w:rPr>
                <w:rFonts w:eastAsia="標楷體"/>
                <w:spacing w:val="-20"/>
                <w:sz w:val="24"/>
                <w:szCs w:val="24"/>
                <w:lang w:eastAsia="zh-HK"/>
              </w:rPr>
            </w:pPr>
            <w:r w:rsidRPr="00C50329">
              <w:rPr>
                <w:rFonts w:eastAsia="標楷體"/>
                <w:spacing w:val="-20"/>
                <w:sz w:val="24"/>
                <w:szCs w:val="24"/>
                <w:lang w:eastAsia="zh-HK"/>
              </w:rPr>
              <w:t>說明：</w:t>
            </w:r>
          </w:p>
          <w:p w14:paraId="2EDDF981" w14:textId="77777777" w:rsidR="00F95660" w:rsidRPr="00C50329" w:rsidRDefault="00F95660" w:rsidP="00F95660">
            <w:pPr>
              <w:jc w:val="both"/>
              <w:rPr>
                <w:rFonts w:eastAsia="標楷體"/>
                <w:spacing w:val="-20"/>
                <w:sz w:val="24"/>
                <w:szCs w:val="24"/>
              </w:rPr>
            </w:pPr>
            <w:r w:rsidRPr="00C50329">
              <w:rPr>
                <w:rFonts w:eastAsia="標楷體"/>
                <w:spacing w:val="-20"/>
                <w:sz w:val="24"/>
                <w:szCs w:val="24"/>
                <w:u w:val="single"/>
              </w:rPr>
              <w:t xml:space="preserve">               </w:t>
            </w:r>
          </w:p>
        </w:tc>
      </w:tr>
      <w:tr w:rsidR="00F95660" w:rsidRPr="00C50329" w14:paraId="27CE66EA" w14:textId="77777777" w:rsidTr="002A75E8">
        <w:tc>
          <w:tcPr>
            <w:tcW w:w="1668" w:type="dxa"/>
            <w:vAlign w:val="center"/>
          </w:tcPr>
          <w:p w14:paraId="152B1E8C" w14:textId="0C84A6C5" w:rsidR="00F95660" w:rsidRPr="00C50329" w:rsidRDefault="00F95660" w:rsidP="00F95660">
            <w:pPr>
              <w:adjustRightInd w:val="0"/>
              <w:snapToGrid w:val="0"/>
              <w:jc w:val="both"/>
              <w:rPr>
                <w:rFonts w:eastAsia="標楷體"/>
                <w:szCs w:val="24"/>
              </w:rPr>
            </w:pPr>
            <w:r w:rsidRPr="00C50329">
              <w:rPr>
                <w:rFonts w:eastAsia="標楷體" w:hint="eastAsia"/>
                <w:sz w:val="24"/>
                <w:szCs w:val="24"/>
              </w:rPr>
              <w:t>5.</w:t>
            </w:r>
            <w:r w:rsidRPr="00C50329">
              <w:rPr>
                <w:rFonts w:eastAsia="標楷體"/>
                <w:sz w:val="24"/>
                <w:szCs w:val="24"/>
              </w:rPr>
              <w:t>中長程構思及規劃建議</w:t>
            </w:r>
          </w:p>
        </w:tc>
        <w:tc>
          <w:tcPr>
            <w:tcW w:w="1842" w:type="dxa"/>
            <w:vAlign w:val="center"/>
          </w:tcPr>
          <w:p w14:paraId="323FB022" w14:textId="1BDE57CF" w:rsidR="00F95660" w:rsidRPr="004A19F5" w:rsidRDefault="005D4823" w:rsidP="00F95660">
            <w:pPr>
              <w:jc w:val="both"/>
              <w:rPr>
                <w:rFonts w:eastAsia="標楷體"/>
              </w:rPr>
            </w:pPr>
            <w:r w:rsidRPr="004A19F5">
              <w:rPr>
                <w:rFonts w:eastAsia="標楷體"/>
              </w:rPr>
              <w:t>建議未來應具體呈現其與國教輔導團相互協作或互補，以發展到校輔導學校之整合作法與模式。</w:t>
            </w:r>
          </w:p>
        </w:tc>
        <w:tc>
          <w:tcPr>
            <w:tcW w:w="1985" w:type="dxa"/>
            <w:vAlign w:val="center"/>
          </w:tcPr>
          <w:p w14:paraId="5054E8EF" w14:textId="79607D36" w:rsidR="00F95660" w:rsidRPr="00C50329" w:rsidRDefault="00834FC3" w:rsidP="00F95660">
            <w:pPr>
              <w:jc w:val="both"/>
              <w:rPr>
                <w:rFonts w:eastAsia="標楷體"/>
                <w:szCs w:val="24"/>
              </w:rPr>
            </w:pPr>
            <w:r>
              <w:rPr>
                <w:rFonts w:eastAsia="標楷體" w:hint="eastAsia"/>
                <w:szCs w:val="24"/>
              </w:rPr>
              <w:t>透過每月的精進計畫核心執行小組會議，確認領域輔導團分團和地方輔導群分團的任務，領域</w:t>
            </w:r>
            <w:r w:rsidR="00792630">
              <w:rPr>
                <w:rFonts w:eastAsia="標楷體" w:hint="eastAsia"/>
                <w:szCs w:val="24"/>
              </w:rPr>
              <w:t>分團</w:t>
            </w:r>
            <w:r>
              <w:rPr>
                <w:rFonts w:eastAsia="標楷體" w:hint="eastAsia"/>
                <w:szCs w:val="24"/>
              </w:rPr>
              <w:t>聚焦教材教法及</w:t>
            </w:r>
            <w:r>
              <w:rPr>
                <w:rFonts w:eastAsia="標楷體" w:hint="eastAsia"/>
                <w:szCs w:val="24"/>
              </w:rPr>
              <w:lastRenderedPageBreak/>
              <w:t>有效教學，地方輔導群聚焦</w:t>
            </w:r>
            <w:r w:rsidR="00792630">
              <w:rPr>
                <w:rFonts w:eastAsia="標楷體" w:hint="eastAsia"/>
                <w:szCs w:val="24"/>
              </w:rPr>
              <w:t>備觀議課</w:t>
            </w:r>
            <w:r>
              <w:rPr>
                <w:rFonts w:eastAsia="標楷體" w:hint="eastAsia"/>
                <w:szCs w:val="24"/>
              </w:rPr>
              <w:t>及班級經營。</w:t>
            </w:r>
          </w:p>
        </w:tc>
        <w:tc>
          <w:tcPr>
            <w:tcW w:w="709" w:type="dxa"/>
            <w:vAlign w:val="center"/>
          </w:tcPr>
          <w:p w14:paraId="6478F7D5" w14:textId="77777777" w:rsidR="00F95660" w:rsidRPr="00C50329" w:rsidRDefault="00F95660" w:rsidP="00F95660">
            <w:pPr>
              <w:jc w:val="both"/>
              <w:rPr>
                <w:rFonts w:eastAsia="標楷體"/>
                <w:szCs w:val="24"/>
              </w:rPr>
            </w:pPr>
          </w:p>
        </w:tc>
        <w:tc>
          <w:tcPr>
            <w:tcW w:w="1428" w:type="dxa"/>
            <w:tcBorders>
              <w:tr2bl w:val="single" w:sz="4" w:space="0" w:color="auto"/>
            </w:tcBorders>
            <w:vAlign w:val="center"/>
          </w:tcPr>
          <w:p w14:paraId="0FC88C82" w14:textId="77777777" w:rsidR="00F95660" w:rsidRPr="00C50329" w:rsidRDefault="00F95660" w:rsidP="00F95660">
            <w:pPr>
              <w:jc w:val="both"/>
              <w:rPr>
                <w:rFonts w:eastAsia="標楷體"/>
                <w:szCs w:val="24"/>
              </w:rPr>
            </w:pPr>
          </w:p>
        </w:tc>
        <w:tc>
          <w:tcPr>
            <w:tcW w:w="1984" w:type="dxa"/>
          </w:tcPr>
          <w:p w14:paraId="1BC320CF" w14:textId="77777777" w:rsidR="00F95660" w:rsidRPr="00C50329" w:rsidRDefault="00F95660" w:rsidP="00F95660">
            <w:pPr>
              <w:jc w:val="both"/>
              <w:rPr>
                <w:rFonts w:eastAsia="標楷體"/>
                <w:spacing w:val="-20"/>
                <w:szCs w:val="24"/>
              </w:rPr>
            </w:pPr>
          </w:p>
        </w:tc>
      </w:tr>
      <w:tr w:rsidR="00F95660" w:rsidRPr="00C50329" w14:paraId="62CC57AF" w14:textId="77777777" w:rsidTr="002A75E8">
        <w:tc>
          <w:tcPr>
            <w:tcW w:w="1668" w:type="dxa"/>
            <w:vAlign w:val="center"/>
          </w:tcPr>
          <w:p w14:paraId="2E62DDBD" w14:textId="77777777" w:rsidR="00F95660" w:rsidRPr="00C50329" w:rsidRDefault="00F95660" w:rsidP="002A75E8">
            <w:pPr>
              <w:jc w:val="center"/>
              <w:rPr>
                <w:rFonts w:eastAsia="標楷體"/>
                <w:sz w:val="24"/>
                <w:szCs w:val="24"/>
              </w:rPr>
            </w:pPr>
            <w:r w:rsidRPr="00C50329">
              <w:rPr>
                <w:rFonts w:eastAsia="標楷體"/>
                <w:sz w:val="24"/>
                <w:szCs w:val="24"/>
                <w:lang w:eastAsia="zh-HK"/>
              </w:rPr>
              <w:t>審查結果</w:t>
            </w:r>
          </w:p>
        </w:tc>
        <w:tc>
          <w:tcPr>
            <w:tcW w:w="7948" w:type="dxa"/>
            <w:gridSpan w:val="5"/>
            <w:vAlign w:val="center"/>
          </w:tcPr>
          <w:p w14:paraId="21E1749A" w14:textId="77777777" w:rsidR="00F95660" w:rsidRPr="00C50329" w:rsidRDefault="00F95660" w:rsidP="002A75E8">
            <w:pPr>
              <w:jc w:val="both"/>
              <w:rPr>
                <w:rFonts w:eastAsia="標楷體"/>
                <w:sz w:val="24"/>
                <w:szCs w:val="24"/>
                <w:lang w:eastAsia="zh-HK"/>
              </w:rPr>
            </w:pPr>
            <w:r w:rsidRPr="00C50329">
              <w:rPr>
                <w:rFonts w:eastAsia="標楷體"/>
                <w:sz w:val="24"/>
                <w:szCs w:val="24"/>
              </w:rPr>
              <w:sym w:font="Wingdings" w:char="F06F"/>
            </w:r>
            <w:r w:rsidRPr="00C50329">
              <w:rPr>
                <w:rFonts w:eastAsia="標楷體"/>
                <w:sz w:val="24"/>
                <w:szCs w:val="24"/>
                <w:lang w:eastAsia="zh-HK"/>
              </w:rPr>
              <w:t>全部已</w:t>
            </w:r>
            <w:r w:rsidRPr="00C50329">
              <w:rPr>
                <w:rFonts w:eastAsia="標楷體"/>
                <w:sz w:val="24"/>
                <w:szCs w:val="24"/>
              </w:rPr>
              <w:t>通過</w:t>
            </w:r>
          </w:p>
          <w:p w14:paraId="614302B9" w14:textId="77777777" w:rsidR="00F95660" w:rsidRPr="00C50329" w:rsidRDefault="00F95660" w:rsidP="002A75E8">
            <w:pPr>
              <w:jc w:val="both"/>
              <w:rPr>
                <w:rFonts w:eastAsia="標楷體"/>
                <w:sz w:val="24"/>
                <w:szCs w:val="24"/>
              </w:rPr>
            </w:pPr>
            <w:r w:rsidRPr="00C50329">
              <w:rPr>
                <w:rFonts w:eastAsia="標楷體"/>
                <w:sz w:val="24"/>
                <w:szCs w:val="24"/>
              </w:rPr>
              <w:sym w:font="Wingdings" w:char="F06F"/>
            </w:r>
            <w:r w:rsidRPr="00C50329">
              <w:rPr>
                <w:rFonts w:eastAsia="標楷體"/>
                <w:sz w:val="24"/>
                <w:szCs w:val="24"/>
                <w:lang w:eastAsia="zh-HK"/>
              </w:rPr>
              <w:t>部份未</w:t>
            </w:r>
            <w:r w:rsidRPr="00C50329">
              <w:rPr>
                <w:rFonts w:eastAsia="標楷體"/>
                <w:sz w:val="24"/>
                <w:szCs w:val="24"/>
              </w:rPr>
              <w:t>通過</w:t>
            </w:r>
            <w:r w:rsidRPr="00C50329">
              <w:rPr>
                <w:rFonts w:eastAsia="標楷體"/>
                <w:sz w:val="24"/>
                <w:szCs w:val="24"/>
                <w:lang w:eastAsia="zh-HK"/>
              </w:rPr>
              <w:t>，請依建</w:t>
            </w:r>
            <w:r w:rsidRPr="00C50329">
              <w:rPr>
                <w:rFonts w:eastAsia="標楷體"/>
                <w:sz w:val="24"/>
                <w:szCs w:val="24"/>
              </w:rPr>
              <w:t>議</w:t>
            </w:r>
            <w:r w:rsidRPr="00C50329">
              <w:rPr>
                <w:rFonts w:eastAsia="標楷體"/>
                <w:sz w:val="24"/>
                <w:szCs w:val="24"/>
                <w:lang w:eastAsia="zh-HK"/>
              </w:rPr>
              <w:t>意見再修正</w:t>
            </w:r>
          </w:p>
        </w:tc>
      </w:tr>
      <w:bookmarkEnd w:id="1"/>
    </w:tbl>
    <w:p w14:paraId="73229D76" w14:textId="77777777" w:rsidR="00192B53" w:rsidRPr="00FE3DA4" w:rsidRDefault="00192B53"/>
    <w:sectPr w:rsidR="00192B53" w:rsidRPr="00FE3DA4" w:rsidSect="00FE3DA4">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36A9" w14:textId="77777777" w:rsidR="00A92C8C" w:rsidRDefault="00A92C8C" w:rsidP="00FE3DA4">
      <w:r>
        <w:separator/>
      </w:r>
    </w:p>
  </w:endnote>
  <w:endnote w:type="continuationSeparator" w:id="0">
    <w:p w14:paraId="76227CC4" w14:textId="77777777" w:rsidR="00A92C8C" w:rsidRDefault="00A92C8C" w:rsidP="00FE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9D27" w14:textId="77777777" w:rsidR="00A92C8C" w:rsidRDefault="00A92C8C" w:rsidP="00FE3DA4">
      <w:r>
        <w:separator/>
      </w:r>
    </w:p>
  </w:footnote>
  <w:footnote w:type="continuationSeparator" w:id="0">
    <w:p w14:paraId="4F8E5F3F" w14:textId="77777777" w:rsidR="00A92C8C" w:rsidRDefault="00A92C8C" w:rsidP="00FE3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27FB"/>
    <w:multiLevelType w:val="hybridMultilevel"/>
    <w:tmpl w:val="7682E8B8"/>
    <w:lvl w:ilvl="0" w:tplc="7B4EE2AC">
      <w:start w:val="1"/>
      <w:numFmt w:val="decimal"/>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5FDF3AA3"/>
    <w:multiLevelType w:val="hybridMultilevel"/>
    <w:tmpl w:val="7682E8B8"/>
    <w:lvl w:ilvl="0" w:tplc="7B4EE2AC">
      <w:start w:val="1"/>
      <w:numFmt w:val="decimal"/>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654190999">
    <w:abstractNumId w:val="1"/>
  </w:num>
  <w:num w:numId="2" w16cid:durableId="44010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84"/>
    <w:rsid w:val="00192B53"/>
    <w:rsid w:val="00233462"/>
    <w:rsid w:val="003E6B18"/>
    <w:rsid w:val="004A19F5"/>
    <w:rsid w:val="004C1EE0"/>
    <w:rsid w:val="004C3A01"/>
    <w:rsid w:val="00516209"/>
    <w:rsid w:val="005D4823"/>
    <w:rsid w:val="0061527F"/>
    <w:rsid w:val="00643E77"/>
    <w:rsid w:val="00687846"/>
    <w:rsid w:val="00792630"/>
    <w:rsid w:val="00810D36"/>
    <w:rsid w:val="00830E65"/>
    <w:rsid w:val="00834FC3"/>
    <w:rsid w:val="00953546"/>
    <w:rsid w:val="00A52D3D"/>
    <w:rsid w:val="00A92C8C"/>
    <w:rsid w:val="00A93CCF"/>
    <w:rsid w:val="00AC7EC9"/>
    <w:rsid w:val="00B759B3"/>
    <w:rsid w:val="00D174D8"/>
    <w:rsid w:val="00DF4E34"/>
    <w:rsid w:val="00F234D7"/>
    <w:rsid w:val="00F95660"/>
    <w:rsid w:val="00FE3DA4"/>
    <w:rsid w:val="00FF1A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73E1C"/>
  <w15:chartTrackingRefBased/>
  <w15:docId w15:val="{4F8BBB02-8F54-4177-9427-CD35D4BA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DA4"/>
    <w:pPr>
      <w:widowControl w:val="0"/>
    </w:pPr>
  </w:style>
  <w:style w:type="paragraph" w:styleId="2">
    <w:name w:val="heading 2"/>
    <w:basedOn w:val="a"/>
    <w:next w:val="a"/>
    <w:link w:val="20"/>
    <w:uiPriority w:val="9"/>
    <w:unhideWhenUsed/>
    <w:qFormat/>
    <w:rsid w:val="00FE3DA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DA4"/>
    <w:pPr>
      <w:tabs>
        <w:tab w:val="center" w:pos="4153"/>
        <w:tab w:val="right" w:pos="8306"/>
      </w:tabs>
      <w:snapToGrid w:val="0"/>
    </w:pPr>
    <w:rPr>
      <w:sz w:val="20"/>
      <w:szCs w:val="20"/>
    </w:rPr>
  </w:style>
  <w:style w:type="character" w:customStyle="1" w:styleId="a4">
    <w:name w:val="頁首 字元"/>
    <w:basedOn w:val="a0"/>
    <w:link w:val="a3"/>
    <w:uiPriority w:val="99"/>
    <w:rsid w:val="00FE3DA4"/>
    <w:rPr>
      <w:sz w:val="20"/>
      <w:szCs w:val="20"/>
    </w:rPr>
  </w:style>
  <w:style w:type="paragraph" w:styleId="a5">
    <w:name w:val="footer"/>
    <w:basedOn w:val="a"/>
    <w:link w:val="a6"/>
    <w:uiPriority w:val="99"/>
    <w:unhideWhenUsed/>
    <w:rsid w:val="00FE3DA4"/>
    <w:pPr>
      <w:tabs>
        <w:tab w:val="center" w:pos="4153"/>
        <w:tab w:val="right" w:pos="8306"/>
      </w:tabs>
      <w:snapToGrid w:val="0"/>
    </w:pPr>
    <w:rPr>
      <w:sz w:val="20"/>
      <w:szCs w:val="20"/>
    </w:rPr>
  </w:style>
  <w:style w:type="character" w:customStyle="1" w:styleId="a6">
    <w:name w:val="頁尾 字元"/>
    <w:basedOn w:val="a0"/>
    <w:link w:val="a5"/>
    <w:uiPriority w:val="99"/>
    <w:rsid w:val="00FE3DA4"/>
    <w:rPr>
      <w:sz w:val="20"/>
      <w:szCs w:val="20"/>
    </w:rPr>
  </w:style>
  <w:style w:type="character" w:customStyle="1" w:styleId="20">
    <w:name w:val="標題 2 字元"/>
    <w:basedOn w:val="a0"/>
    <w:link w:val="2"/>
    <w:uiPriority w:val="9"/>
    <w:rsid w:val="00FE3DA4"/>
    <w:rPr>
      <w:rFonts w:asciiTheme="majorHAnsi" w:eastAsiaTheme="majorEastAsia" w:hAnsiTheme="majorHAnsi" w:cstheme="majorBidi"/>
      <w:b/>
      <w:bCs/>
      <w:sz w:val="48"/>
      <w:szCs w:val="48"/>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FE3DA4"/>
    <w:pPr>
      <w:ind w:leftChars="200" w:left="480"/>
    </w:pPr>
    <w:rPr>
      <w:rFonts w:ascii="Times New Roman" w:eastAsia="新細明體" w:hAnsi="Times New Roman" w:cs="Times New Roman"/>
      <w:szCs w:val="24"/>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FE3DA4"/>
    <w:rPr>
      <w:rFonts w:ascii="Times New Roman" w:eastAsia="新細明體" w:hAnsi="Times New Roman" w:cs="Times New Roman"/>
      <w:szCs w:val="24"/>
    </w:rPr>
  </w:style>
  <w:style w:type="table" w:styleId="a9">
    <w:name w:val="Table Grid"/>
    <w:aliases w:val="表格規格"/>
    <w:basedOn w:val="a1"/>
    <w:uiPriority w:val="39"/>
    <w:rsid w:val="00FE3DA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5A6BA-EA41-4313-A7B8-A7CBAA52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162</Words>
  <Characters>926</Characters>
  <Application>Microsoft Office Word</Application>
  <DocSecurity>0</DocSecurity>
  <Lines>7</Lines>
  <Paragraphs>2</Paragraphs>
  <ScaleCrop>false</ScaleCrop>
  <Company>KMSOFFICE2019X64</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Cheng Cheng</cp:lastModifiedBy>
  <cp:revision>6</cp:revision>
  <dcterms:created xsi:type="dcterms:W3CDTF">2025-04-16T02:52:00Z</dcterms:created>
  <dcterms:modified xsi:type="dcterms:W3CDTF">2025-04-17T01:59:00Z</dcterms:modified>
</cp:coreProperties>
</file>