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2181E7F5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5C5CEB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72ECAB0A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5C5CEB">
        <w:rPr>
          <w:rFonts w:ascii="Times New Roman" w:eastAsia="標楷體" w:hAnsi="Times New Roman" w:cs="Times New Roman" w:hint="eastAsia"/>
          <w:b/>
          <w:sz w:val="32"/>
          <w:szCs w:val="32"/>
        </w:rPr>
        <w:t>社會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域（議題）</w:t>
      </w:r>
      <w:proofErr w:type="gramStart"/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73DC068B" w:rsidR="00FE3DA4" w:rsidRPr="00C50329" w:rsidRDefault="005C5CEB" w:rsidP="005C5CEB">
            <w:pPr>
              <w:jc w:val="both"/>
              <w:rPr>
                <w:rFonts w:eastAsia="標楷體"/>
                <w:sz w:val="24"/>
                <w:szCs w:val="24"/>
              </w:rPr>
            </w:pPr>
            <w:r w:rsidRPr="005C5CEB">
              <w:rPr>
                <w:rFonts w:eastAsia="標楷體" w:hint="eastAsia"/>
                <w:sz w:val="24"/>
                <w:szCs w:val="24"/>
              </w:rPr>
              <w:t>輔導團法制化後名稱有變動，總計畫名稱應為「花蓮縣</w:t>
            </w:r>
            <w:r w:rsidRPr="005C5CEB">
              <w:rPr>
                <w:rFonts w:eastAsia="標楷體" w:hint="eastAsia"/>
                <w:sz w:val="24"/>
                <w:szCs w:val="24"/>
              </w:rPr>
              <w:t>114</w:t>
            </w:r>
            <w:proofErr w:type="gramStart"/>
            <w:r w:rsidRPr="005C5CEB">
              <w:rPr>
                <w:rFonts w:eastAsia="標楷體" w:hint="eastAsia"/>
                <w:sz w:val="24"/>
                <w:szCs w:val="24"/>
              </w:rPr>
              <w:t>學年度精進</w:t>
            </w:r>
            <w:proofErr w:type="gramEnd"/>
            <w:r w:rsidRPr="005C5CEB">
              <w:rPr>
                <w:rFonts w:eastAsia="標楷體" w:hint="eastAsia"/>
                <w:sz w:val="24"/>
                <w:szCs w:val="24"/>
              </w:rPr>
              <w:t>國民中小學教師教學專業與課程品質整體推動計畫社會</w:t>
            </w:r>
            <w:proofErr w:type="gramStart"/>
            <w:r w:rsidRPr="005C5CEB">
              <w:rPr>
                <w:rFonts w:eastAsia="標楷體" w:hint="eastAsia"/>
                <w:sz w:val="24"/>
                <w:szCs w:val="24"/>
              </w:rPr>
              <w:t>領域分團計畫</w:t>
            </w:r>
            <w:proofErr w:type="gramEnd"/>
            <w:r w:rsidRPr="005C5CEB">
              <w:rPr>
                <w:rFonts w:eastAsia="標楷體" w:hint="eastAsia"/>
                <w:sz w:val="24"/>
                <w:szCs w:val="24"/>
              </w:rPr>
              <w:t>」</w:t>
            </w:r>
          </w:p>
        </w:tc>
        <w:tc>
          <w:tcPr>
            <w:tcW w:w="1985" w:type="dxa"/>
            <w:vAlign w:val="center"/>
          </w:tcPr>
          <w:p w14:paraId="50DB3420" w14:textId="531D86A7" w:rsidR="00FE3DA4" w:rsidRPr="005C5CEB" w:rsidRDefault="005C5CEB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已依建議事向修正</w:t>
            </w:r>
          </w:p>
        </w:tc>
        <w:tc>
          <w:tcPr>
            <w:tcW w:w="709" w:type="dxa"/>
            <w:vAlign w:val="center"/>
          </w:tcPr>
          <w:p w14:paraId="788ACC1B" w14:textId="77777777" w:rsidR="00FE3DA4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封面</w:t>
            </w:r>
          </w:p>
          <w:p w14:paraId="5541C434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</w:t>
            </w:r>
          </w:p>
          <w:p w14:paraId="1CCD809B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</w:t>
            </w:r>
          </w:p>
          <w:p w14:paraId="5B1754E7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P13</w:t>
            </w:r>
          </w:p>
          <w:p w14:paraId="5F9B8D1E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P20</w:t>
            </w:r>
          </w:p>
          <w:p w14:paraId="1EA4615D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P24</w:t>
            </w:r>
          </w:p>
          <w:p w14:paraId="22BD06A1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P26</w:t>
            </w:r>
          </w:p>
          <w:p w14:paraId="1C1A83A0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P29</w:t>
            </w:r>
          </w:p>
          <w:p w14:paraId="70EE6F20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P32</w:t>
            </w:r>
          </w:p>
          <w:p w14:paraId="15EB1F6D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P35</w:t>
            </w:r>
          </w:p>
          <w:p w14:paraId="5EF0204C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P37</w:t>
            </w:r>
            <w:r>
              <w:rPr>
                <w:rFonts w:eastAsia="標楷體"/>
                <w:sz w:val="24"/>
                <w:szCs w:val="24"/>
              </w:rPr>
              <w:br/>
            </w:r>
            <w:r>
              <w:rPr>
                <w:rFonts w:eastAsia="標楷體" w:hint="eastAsia"/>
                <w:sz w:val="24"/>
                <w:szCs w:val="24"/>
              </w:rPr>
              <w:t>P39</w:t>
            </w:r>
          </w:p>
          <w:p w14:paraId="046B9229" w14:textId="4214F649" w:rsidR="005C5CEB" w:rsidRPr="00C50329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P41</w:t>
            </w:r>
            <w:r>
              <w:rPr>
                <w:rFonts w:eastAsia="標楷體"/>
                <w:sz w:val="24"/>
                <w:szCs w:val="24"/>
              </w:rPr>
              <w:br/>
            </w:r>
            <w:r>
              <w:rPr>
                <w:rFonts w:eastAsia="標楷體" w:hint="eastAsia"/>
                <w:sz w:val="24"/>
                <w:szCs w:val="24"/>
              </w:rPr>
              <w:t>P43</w:t>
            </w:r>
          </w:p>
        </w:tc>
        <w:tc>
          <w:tcPr>
            <w:tcW w:w="1428" w:type="dxa"/>
            <w:vAlign w:val="center"/>
          </w:tcPr>
          <w:p w14:paraId="6CD52C15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封面</w:t>
            </w:r>
          </w:p>
          <w:p w14:paraId="490903B6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</w:t>
            </w:r>
          </w:p>
          <w:p w14:paraId="79E02E1D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</w:t>
            </w:r>
          </w:p>
          <w:p w14:paraId="2855F5F0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P13</w:t>
            </w:r>
          </w:p>
          <w:p w14:paraId="04C8C525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P20</w:t>
            </w:r>
          </w:p>
          <w:p w14:paraId="253FBE76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P24</w:t>
            </w:r>
          </w:p>
          <w:p w14:paraId="197A7A2E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P26</w:t>
            </w:r>
          </w:p>
          <w:p w14:paraId="0AADEADD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P29</w:t>
            </w:r>
          </w:p>
          <w:p w14:paraId="4D17E3F2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P32</w:t>
            </w:r>
          </w:p>
          <w:p w14:paraId="28909594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P35</w:t>
            </w:r>
          </w:p>
          <w:p w14:paraId="4DC7205D" w14:textId="77777777" w:rsidR="005C5CEB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P37</w:t>
            </w:r>
            <w:r>
              <w:rPr>
                <w:rFonts w:eastAsia="標楷體"/>
                <w:sz w:val="24"/>
                <w:szCs w:val="24"/>
              </w:rPr>
              <w:br/>
            </w:r>
            <w:r>
              <w:rPr>
                <w:rFonts w:eastAsia="標楷體" w:hint="eastAsia"/>
                <w:sz w:val="24"/>
                <w:szCs w:val="24"/>
              </w:rPr>
              <w:t>P39</w:t>
            </w:r>
          </w:p>
          <w:p w14:paraId="2DD2DCE7" w14:textId="6B316234" w:rsidR="00FE3DA4" w:rsidRPr="00C50329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P41</w:t>
            </w:r>
            <w:r>
              <w:rPr>
                <w:rFonts w:eastAsia="標楷體"/>
                <w:sz w:val="24"/>
                <w:szCs w:val="24"/>
              </w:rPr>
              <w:br/>
            </w:r>
            <w:r>
              <w:rPr>
                <w:rFonts w:eastAsia="標楷體" w:hint="eastAsia"/>
                <w:sz w:val="24"/>
                <w:szCs w:val="24"/>
              </w:rPr>
              <w:t>P43</w:t>
            </w: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036D1DCE" w:rsidR="00FE3DA4" w:rsidRPr="00C50329" w:rsidRDefault="005C5CEB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5C5CEB">
              <w:rPr>
                <w:rFonts w:eastAsia="標楷體" w:hint="eastAsia"/>
                <w:sz w:val="24"/>
                <w:szCs w:val="24"/>
              </w:rPr>
              <w:t>依據指標細項</w:t>
            </w:r>
            <w:r w:rsidRPr="005C5CEB">
              <w:rPr>
                <w:rFonts w:eastAsia="標楷體" w:hint="eastAsia"/>
                <w:sz w:val="24"/>
                <w:szCs w:val="24"/>
              </w:rPr>
              <w:t>3-1-2</w:t>
            </w:r>
            <w:r w:rsidRPr="005C5CEB">
              <w:rPr>
                <w:rFonts w:eastAsia="標楷體" w:hint="eastAsia"/>
                <w:sz w:val="24"/>
                <w:szCs w:val="24"/>
              </w:rPr>
              <w:t>檢核參考說明之「</w:t>
            </w:r>
            <w:r w:rsidRPr="005C5CEB">
              <w:rPr>
                <w:rFonts w:eastAsia="標楷體" w:hint="eastAsia"/>
                <w:sz w:val="24"/>
                <w:szCs w:val="24"/>
              </w:rPr>
              <w:t>5.</w:t>
            </w:r>
            <w:r w:rsidRPr="005C5CEB">
              <w:rPr>
                <w:rFonts w:eastAsia="標楷體" w:hint="eastAsia"/>
                <w:sz w:val="24"/>
                <w:szCs w:val="24"/>
              </w:rPr>
              <w:t>課程評鑑」，未呈現相關計畫內容，建議可利用國中小專業對話，強化團員之課程評鑑概念與策略，以利協作學校。中長程再進而規劃具體推動計畫。</w:t>
            </w:r>
          </w:p>
        </w:tc>
        <w:tc>
          <w:tcPr>
            <w:tcW w:w="1985" w:type="dxa"/>
            <w:vAlign w:val="center"/>
          </w:tcPr>
          <w:p w14:paraId="2F1FC0D0" w14:textId="70379D4A" w:rsidR="00FE3DA4" w:rsidRPr="00C50329" w:rsidRDefault="005C5CEB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增列至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子計畫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5C5CEB">
              <w:rPr>
                <w:rFonts w:eastAsia="標楷體" w:hint="eastAsia"/>
                <w:sz w:val="24"/>
                <w:szCs w:val="24"/>
              </w:rPr>
              <w:t>團</w:t>
            </w:r>
            <w:proofErr w:type="gramStart"/>
            <w:r w:rsidRPr="005C5CEB">
              <w:rPr>
                <w:rFonts w:eastAsia="標楷體" w:hint="eastAsia"/>
                <w:sz w:val="24"/>
                <w:szCs w:val="24"/>
              </w:rPr>
              <w:t>務</w:t>
            </w:r>
            <w:proofErr w:type="gramEnd"/>
            <w:r w:rsidRPr="005C5CEB">
              <w:rPr>
                <w:rFonts w:eastAsia="標楷體" w:hint="eastAsia"/>
                <w:sz w:val="24"/>
                <w:szCs w:val="24"/>
              </w:rPr>
              <w:t>會議暨團員增能實施計畫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709" w:type="dxa"/>
            <w:vAlign w:val="center"/>
          </w:tcPr>
          <w:p w14:paraId="7034C2E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2D2A0472" w:rsidR="00FE3DA4" w:rsidRPr="00C50329" w:rsidRDefault="005C5CEB" w:rsidP="005C5CEB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P21</w:t>
            </w: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8759843" w14:textId="522FE74A" w:rsidR="005C5CEB" w:rsidRPr="005C5CEB" w:rsidRDefault="005C5CEB" w:rsidP="005C5CEB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5C5CEB">
              <w:rPr>
                <w:rFonts w:eastAsia="標楷體" w:hint="eastAsia"/>
                <w:sz w:val="24"/>
                <w:szCs w:val="24"/>
              </w:rPr>
              <w:t>子計畫</w:t>
            </w:r>
            <w:proofErr w:type="gramStart"/>
            <w:r w:rsidRPr="005C5CEB">
              <w:rPr>
                <w:rFonts w:eastAsia="標楷體" w:hint="eastAsia"/>
                <w:sz w:val="24"/>
                <w:szCs w:val="24"/>
              </w:rPr>
              <w:t>一</w:t>
            </w:r>
            <w:proofErr w:type="gramEnd"/>
            <w:r w:rsidRPr="005C5CEB">
              <w:rPr>
                <w:rFonts w:eastAsia="標楷體" w:hint="eastAsia"/>
                <w:sz w:val="24"/>
                <w:szCs w:val="24"/>
              </w:rPr>
              <w:t>：</w:t>
            </w:r>
            <w:r w:rsidRPr="005C5CEB">
              <w:rPr>
                <w:rFonts w:eastAsia="標楷體" w:hint="eastAsia"/>
                <w:sz w:val="24"/>
                <w:szCs w:val="24"/>
              </w:rPr>
              <w:t>P.23</w:t>
            </w:r>
            <w:r w:rsidRPr="005C5CEB">
              <w:rPr>
                <w:rFonts w:eastAsia="標楷體" w:hint="eastAsia"/>
                <w:sz w:val="24"/>
                <w:szCs w:val="24"/>
              </w:rPr>
              <w:t>第</w:t>
            </w:r>
            <w:r w:rsidRPr="005C5CEB">
              <w:rPr>
                <w:rFonts w:eastAsia="標楷體" w:hint="eastAsia"/>
                <w:sz w:val="24"/>
                <w:szCs w:val="24"/>
              </w:rPr>
              <w:t>3</w:t>
            </w:r>
            <w:r w:rsidRPr="005C5CEB">
              <w:rPr>
                <w:rFonts w:eastAsia="標楷體" w:hint="eastAsia"/>
                <w:sz w:val="24"/>
                <w:szCs w:val="24"/>
              </w:rPr>
              <w:t>項「參考書籍費」請改為「資料蒐集費」。</w:t>
            </w:r>
          </w:p>
          <w:p w14:paraId="425F0CF8" w14:textId="5F56306E" w:rsidR="005C5CEB" w:rsidRPr="005C5CEB" w:rsidRDefault="005C5CEB" w:rsidP="005C5CEB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5C5CEB">
              <w:rPr>
                <w:rFonts w:eastAsia="標楷體" w:hint="eastAsia"/>
                <w:sz w:val="24"/>
                <w:szCs w:val="24"/>
              </w:rPr>
              <w:t>子計畫六：</w:t>
            </w:r>
            <w:r w:rsidRPr="005C5CEB">
              <w:rPr>
                <w:rFonts w:eastAsia="標楷體" w:hint="eastAsia"/>
                <w:sz w:val="24"/>
                <w:szCs w:val="24"/>
              </w:rPr>
              <w:lastRenderedPageBreak/>
              <w:t>P.36</w:t>
            </w:r>
            <w:r w:rsidRPr="005C5CEB">
              <w:rPr>
                <w:rFonts w:eastAsia="標楷體" w:hint="eastAsia"/>
                <w:sz w:val="24"/>
                <w:szCs w:val="24"/>
              </w:rPr>
              <w:t>：住宿費不分職務等級平日住宿費每日上限為新臺幣</w:t>
            </w:r>
            <w:r w:rsidRPr="005C5CEB">
              <w:rPr>
                <w:rFonts w:eastAsia="標楷體" w:hint="eastAsia"/>
                <w:sz w:val="24"/>
                <w:szCs w:val="24"/>
              </w:rPr>
              <w:t>3,500</w:t>
            </w:r>
            <w:r w:rsidRPr="005C5CEB">
              <w:rPr>
                <w:rFonts w:eastAsia="標楷體" w:hint="eastAsia"/>
                <w:sz w:val="24"/>
                <w:szCs w:val="24"/>
              </w:rPr>
              <w:t>元，請修正。</w:t>
            </w:r>
          </w:p>
          <w:p w14:paraId="2510204D" w14:textId="77777777" w:rsidR="00FE3DA4" w:rsidRPr="005C5CEB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B40169" w14:textId="6EAB8CCE" w:rsidR="005C5CEB" w:rsidRPr="00C50329" w:rsidRDefault="001B2148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sz w:val="24"/>
                <w:szCs w:val="24"/>
              </w:rPr>
              <w:lastRenderedPageBreak/>
              <w:t>均</w:t>
            </w:r>
            <w:r w:rsidR="005C5CEB">
              <w:rPr>
                <w:rFonts w:eastAsia="標楷體" w:hint="eastAsia"/>
                <w:sz w:val="24"/>
                <w:szCs w:val="24"/>
              </w:rPr>
              <w:t>已修正</w:t>
            </w:r>
            <w:proofErr w:type="gramEnd"/>
            <w:r w:rsidR="005C5CE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7ABCCDF4" w14:textId="77777777" w:rsidR="00FE3DA4" w:rsidRDefault="005C5CEB" w:rsidP="001F67E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P23</w:t>
            </w:r>
          </w:p>
          <w:p w14:paraId="72A7185F" w14:textId="11088E53" w:rsidR="001F67EA" w:rsidRPr="00C50329" w:rsidRDefault="001F67EA" w:rsidP="001F67E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P36</w:t>
            </w:r>
          </w:p>
        </w:tc>
        <w:tc>
          <w:tcPr>
            <w:tcW w:w="1428" w:type="dxa"/>
            <w:vAlign w:val="center"/>
          </w:tcPr>
          <w:p w14:paraId="5195E0B1" w14:textId="77777777" w:rsidR="00FE3DA4" w:rsidRDefault="005C5CEB" w:rsidP="001F67E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P23</w:t>
            </w:r>
          </w:p>
          <w:p w14:paraId="0F5EDED7" w14:textId="166DB2BE" w:rsidR="001F67EA" w:rsidRPr="00C50329" w:rsidRDefault="001F67EA" w:rsidP="001F67E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P36</w:t>
            </w: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2EBBB3FF" w14:textId="6A31C002" w:rsidR="00FE3DA4" w:rsidRPr="00C50329" w:rsidRDefault="001B2148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1B2148">
              <w:rPr>
                <w:rFonts w:eastAsia="標楷體" w:hint="eastAsia"/>
                <w:sz w:val="24"/>
                <w:szCs w:val="24"/>
              </w:rPr>
              <w:t>依據細項指標</w:t>
            </w:r>
            <w:r w:rsidRPr="001B2148">
              <w:rPr>
                <w:rFonts w:eastAsia="標楷體" w:hint="eastAsia"/>
                <w:sz w:val="24"/>
                <w:szCs w:val="24"/>
              </w:rPr>
              <w:t>3-2-1</w:t>
            </w:r>
            <w:r w:rsidRPr="001B2148">
              <w:rPr>
                <w:rFonts w:eastAsia="標楷體" w:hint="eastAsia"/>
                <w:sz w:val="24"/>
                <w:szCs w:val="24"/>
              </w:rPr>
              <w:t>檢核參考說明，應協助將教師返校應用</w:t>
            </w:r>
            <w:proofErr w:type="gramStart"/>
            <w:r w:rsidRPr="001B2148">
              <w:rPr>
                <w:rFonts w:eastAsia="標楷體" w:hint="eastAsia"/>
                <w:sz w:val="24"/>
                <w:szCs w:val="24"/>
              </w:rPr>
              <w:t>所學知能</w:t>
            </w:r>
            <w:proofErr w:type="gramEnd"/>
            <w:r w:rsidRPr="001B2148">
              <w:rPr>
                <w:rFonts w:eastAsia="標楷體" w:hint="eastAsia"/>
                <w:sz w:val="24"/>
                <w:szCs w:val="24"/>
              </w:rPr>
              <w:t>實際納入教師增能計畫內容，建議未來可針對教師返校後的實施，規劃回流或教師實踐分享之計畫。</w:t>
            </w:r>
          </w:p>
        </w:tc>
        <w:tc>
          <w:tcPr>
            <w:tcW w:w="1985" w:type="dxa"/>
            <w:vAlign w:val="center"/>
          </w:tcPr>
          <w:p w14:paraId="71F51BE5" w14:textId="6A1B6F15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="00652311" w:rsidRPr="001B214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115</w:t>
            </w:r>
            <w:r w:rsidR="001B2148" w:rsidRPr="001B214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學年度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bookmarkEnd w:id="1"/>
    <w:p w14:paraId="715401D5" w14:textId="096EDC1F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A52D3D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BD7E" w14:textId="77777777" w:rsidR="003A4ECB" w:rsidRDefault="003A4ECB" w:rsidP="00FE3DA4">
      <w:r>
        <w:separator/>
      </w:r>
    </w:p>
  </w:endnote>
  <w:endnote w:type="continuationSeparator" w:id="0">
    <w:p w14:paraId="7A9E75A5" w14:textId="77777777" w:rsidR="003A4ECB" w:rsidRDefault="003A4ECB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7B42" w14:textId="77777777" w:rsidR="003A4ECB" w:rsidRDefault="003A4ECB" w:rsidP="00FE3DA4">
      <w:r>
        <w:separator/>
      </w:r>
    </w:p>
  </w:footnote>
  <w:footnote w:type="continuationSeparator" w:id="0">
    <w:p w14:paraId="29CCA0C8" w14:textId="77777777" w:rsidR="003A4ECB" w:rsidRDefault="003A4ECB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587739210">
    <w:abstractNumId w:val="1"/>
  </w:num>
  <w:num w:numId="2" w16cid:durableId="22060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1052AC"/>
    <w:rsid w:val="00192B53"/>
    <w:rsid w:val="001B2148"/>
    <w:rsid w:val="001F67EA"/>
    <w:rsid w:val="00267134"/>
    <w:rsid w:val="003A4ECB"/>
    <w:rsid w:val="003E6B18"/>
    <w:rsid w:val="00516209"/>
    <w:rsid w:val="005C5CEB"/>
    <w:rsid w:val="0061527F"/>
    <w:rsid w:val="00643E77"/>
    <w:rsid w:val="00652311"/>
    <w:rsid w:val="00810D36"/>
    <w:rsid w:val="00830E65"/>
    <w:rsid w:val="009A492B"/>
    <w:rsid w:val="00A52D3D"/>
    <w:rsid w:val="00B759B3"/>
    <w:rsid w:val="00DF4E34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A6BA-EA41-4313-A7B8-A7CBAA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>KMSOFFICE2019X64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崇禧 羅</cp:lastModifiedBy>
  <cp:revision>6</cp:revision>
  <dcterms:created xsi:type="dcterms:W3CDTF">2025-04-16T07:10:00Z</dcterms:created>
  <dcterms:modified xsi:type="dcterms:W3CDTF">2025-04-16T09:50:00Z</dcterms:modified>
</cp:coreProperties>
</file>